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2B" w:rsidRPr="002C302B" w:rsidRDefault="00EA193B" w:rsidP="002C302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 №20</w:t>
      </w:r>
      <w:bookmarkStart w:id="0" w:name="_GoBack"/>
      <w:bookmarkEnd w:id="0"/>
    </w:p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F82DE6" w:rsidP="00DF5352">
      <w:pPr>
        <w:jc w:val="center"/>
        <w:rPr>
          <w:b/>
          <w:sz w:val="16"/>
          <w:szCs w:val="16"/>
        </w:rPr>
      </w:pPr>
    </w:p>
    <w:p w:rsidR="00F82DE6" w:rsidRPr="00DF5352" w:rsidRDefault="00F82DE6" w:rsidP="00DF5352">
      <w:pPr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</w:rPr>
        <w:t>объявляет о проведении закупа  спос</w:t>
      </w:r>
      <w:r w:rsidR="00680440">
        <w:rPr>
          <w:b/>
          <w:sz w:val="16"/>
          <w:szCs w:val="16"/>
        </w:rPr>
        <w:t>обом тендера следующих товаров</w:t>
      </w:r>
      <w:r w:rsidRPr="00DF5352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634"/>
        <w:gridCol w:w="1417"/>
        <w:gridCol w:w="3969"/>
        <w:gridCol w:w="1134"/>
        <w:gridCol w:w="851"/>
        <w:gridCol w:w="708"/>
        <w:gridCol w:w="1701"/>
        <w:gridCol w:w="1560"/>
        <w:gridCol w:w="1134"/>
        <w:gridCol w:w="1275"/>
      </w:tblGrid>
      <w:tr w:rsidR="005B28A5" w:rsidRPr="003C4686" w:rsidTr="002D1636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634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F5352" w:rsidRPr="00AA054C" w:rsidTr="002D16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352" w:rsidRPr="00081366" w:rsidRDefault="00081366" w:rsidP="002D1636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Крем – мыло </w:t>
            </w:r>
          </w:p>
        </w:tc>
        <w:tc>
          <w:tcPr>
            <w:tcW w:w="3969" w:type="dxa"/>
          </w:tcPr>
          <w:p w:rsidR="00081366" w:rsidRPr="00081366" w:rsidRDefault="00081366" w:rsidP="00081366">
            <w:pPr>
              <w:spacing w:line="360" w:lineRule="auto"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Средство должно представлять собой крем-мыло с антисептическим эффектом. </w:t>
            </w:r>
            <w:proofErr w:type="gram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В качестве АДВ средство должно содержать молочную кислоту, лизоцим жидкий, отвар из 11 трав (ромашка аптечная, крапива двудомная, тысячелистник, зверобой пронзеннолистный, перечная мята, смородина черная, облепиха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крушиновидная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, пихта сибирская, дуб белый, шалфей, зеленый чай) и сок лимона, также увлажняющие и смягчающие кожу добавки (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лактулоза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аллонтоин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глицерин и ланолин) и воду.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pH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1% раствора средства должен быть в интервале 5,5-7,5</w:t>
            </w:r>
            <w:proofErr w:type="gram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. Средство не должно содержать ЧАС, третичные амины,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глутаровый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альдегид,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бигуанидин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хлоргексидин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а также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триклозан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 имидазол. Средство должно обладать бактерицидной и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фунгицидной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активностью. Пенообразующая способность средства должна быть не менее 100 мм, устойчивость пены не менее 0,8.</w:t>
            </w:r>
          </w:p>
          <w:p w:rsidR="00081366" w:rsidRPr="00081366" w:rsidRDefault="00081366" w:rsidP="00081366">
            <w:pPr>
              <w:spacing w:line="360" w:lineRule="auto"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Срок годности не менее 3-х лет. </w:t>
            </w:r>
          </w:p>
          <w:p w:rsidR="00081366" w:rsidRPr="00081366" w:rsidRDefault="00081366" w:rsidP="00081366">
            <w:pPr>
              <w:spacing w:line="360" w:lineRule="auto"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Флакон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эйрлесс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(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диспенсопак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) объемом не менее 1-л. </w:t>
            </w:r>
          </w:p>
          <w:p w:rsidR="00DF5352" w:rsidRPr="00CC23BB" w:rsidRDefault="00DF5352" w:rsidP="002D16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Флакон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1 600 000</w:t>
            </w:r>
          </w:p>
        </w:tc>
      </w:tr>
      <w:tr w:rsidR="00DF5352" w:rsidRPr="00AA054C" w:rsidTr="002D16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9516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4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5352" w:rsidRPr="002D1636" w:rsidRDefault="00081366" w:rsidP="0060709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Кожный антисептик -  для обработки рук хирургов, </w:t>
            </w:r>
            <w:proofErr w:type="gramStart"/>
            <w:r>
              <w:rPr>
                <w:color w:val="auto"/>
                <w:sz w:val="16"/>
                <w:szCs w:val="16"/>
              </w:rPr>
              <w:t>мед персоналов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в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ЛПУ-1 л с дозатором </w:t>
            </w:r>
          </w:p>
        </w:tc>
        <w:tc>
          <w:tcPr>
            <w:tcW w:w="3969" w:type="dxa"/>
          </w:tcPr>
          <w:p w:rsidR="00081366" w:rsidRPr="00081366" w:rsidRDefault="00081366" w:rsidP="00081366">
            <w:pPr>
              <w:spacing w:after="160" w:line="360" w:lineRule="auto"/>
              <w:contextualSpacing/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>Дезсредство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(кожный антисептик) в качестве АДВ должно содержать не менее 70 % масс этанола, а также </w:t>
            </w:r>
            <w:proofErr w:type="spellStart"/>
            <w:proofErr w:type="gram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трет-бутиловый</w:t>
            </w:r>
            <w:proofErr w:type="spellEnd"/>
            <w:proofErr w:type="gram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спирт,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изопропанол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и функциональные </w:t>
            </w: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 xml:space="preserve">добавки для ухода за кожей рук. Средство не должно содержать  красителей и ароматических отдушек. </w:t>
            </w:r>
            <w:r w:rsidRPr="00081366">
              <w:rPr>
                <w:rFonts w:eastAsia="PMingLiU"/>
                <w:color w:val="auto"/>
                <w:sz w:val="16"/>
                <w:szCs w:val="16"/>
                <w:lang w:val="en-US" w:eastAsia="zh-TW"/>
              </w:rPr>
              <w:t>pH</w:t>
            </w: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должен быть 6,8% – 7,3%. Средство должно обладать бактерицидной,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туберкулоцидной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вирулицидной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фунгицидной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активностью. Средство должно быть предназначено для хирургической, гигиенической обработки рук, кожи операционного и инъекционного полей и локтевых сгибов доноров. Средство должно быть расфасовано в полимерные, герметичные, стерильные пакеты объемом не более 0,7 л, снабженные обратным дозирующим клапаном, исключающим обратный подсос воздуха, обеспечивающим стерильность средства до конца использования и точное дозирование препарата (не более 1,6 мл за одно нажатие). Срок годности не менее 3-х лет. Средство должно подходить под установленные в учреждении настенные дозаторы с локтевым рычагом из нержавеющей стали размером 105 мм (Ш) х 109 мм (Г) х 200 мм (В). Передняя панель дозатора должна быть из прозрачного материала для визуального контроля наличия средства в упаковке.</w:t>
            </w:r>
          </w:p>
          <w:p w:rsidR="00DF5352" w:rsidRPr="00A01DE8" w:rsidRDefault="00DF5352" w:rsidP="002D16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Флакон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2 012 500</w:t>
            </w:r>
          </w:p>
        </w:tc>
      </w:tr>
      <w:tr w:rsidR="00DF5352" w:rsidRPr="00AA054C" w:rsidTr="002D16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9516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34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5352" w:rsidRPr="002D1636" w:rsidRDefault="00081366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Средство для контроля качества </w:t>
            </w:r>
            <w:proofErr w:type="gramStart"/>
            <w:r>
              <w:rPr>
                <w:color w:val="auto"/>
                <w:sz w:val="16"/>
                <w:szCs w:val="16"/>
              </w:rPr>
              <w:t>пред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стерилизационной очистки инструментов </w:t>
            </w:r>
          </w:p>
        </w:tc>
        <w:tc>
          <w:tcPr>
            <w:tcW w:w="3969" w:type="dxa"/>
          </w:tcPr>
          <w:p w:rsidR="00DF5352" w:rsidRPr="002D1636" w:rsidRDefault="00081366" w:rsidP="002D1636">
            <w:pPr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Средство для контроля качества </w:t>
            </w:r>
            <w:proofErr w:type="gramStart"/>
            <w:r>
              <w:rPr>
                <w:color w:val="auto"/>
                <w:sz w:val="16"/>
                <w:szCs w:val="16"/>
              </w:rPr>
              <w:t>пред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стерилизационной очистки инструментов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</w:tr>
      <w:tr w:rsidR="00DF5352" w:rsidRPr="00AA054C" w:rsidTr="002D16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B9516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4" w:type="dxa"/>
            <w:vMerge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5352" w:rsidRPr="002D1636" w:rsidRDefault="00081366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Очищающие дезинфицирующие салфетки, для датчиков </w:t>
            </w:r>
          </w:p>
        </w:tc>
        <w:tc>
          <w:tcPr>
            <w:tcW w:w="3969" w:type="dxa"/>
          </w:tcPr>
          <w:p w:rsidR="00081366" w:rsidRPr="00081366" w:rsidRDefault="00081366" w:rsidP="00081366">
            <w:pPr>
              <w:jc w:val="both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proofErr w:type="gram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Средство должно представлять собой готовые к использованию дезинфицирующие салфетки однократного применения из нетканого материала (100% полипропилен), пропитанные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дезсредством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содержащим в качестве ДВ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изопропанол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не более 17,2% и не менее 0,28%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диизобутилфеноксиэтоксиэтилдиметилбензилхлорид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аммония (ЧАС),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рН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средства должен быть в интервале 12,0% - 12,49%. Пропиточный состав не должен содержать: спирты высокой концентрации более 18%, альдегиды, производные аминов,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гуанидина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, хлора, кислот, фенола.</w:t>
            </w:r>
            <w:proofErr w:type="gram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Антимикробная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активность: </w:t>
            </w:r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lastRenderedPageBreak/>
              <w:t xml:space="preserve">бактерицидная,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туберкулоцидная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вирулицидная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</w:t>
            </w:r>
            <w:proofErr w:type="spellStart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>фунгицидная</w:t>
            </w:r>
            <w:proofErr w:type="spellEnd"/>
            <w:r w:rsidRPr="00081366"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. Салфетки должны предназначаться для одновременной очистки и дезинфекции загрязненных и не загрязненных биологическими выделениями различных поверхностей и предметов. Время обеззараживания поверхностей, не загрязненных биологическими выделениями - не более 3 минут, загрязненных биологическими выделениями - не более 5 минут. Салфетки должны обладать высокой прочностью, при использовании не рваться, не сбиваться в комок и не оставлять остаточной пленки и ворса на обработанной поверхности, не фиксировать органические загрязнения (в т.ч. кровь). Салфетки должны быть размером не менее 15х17 см, в виде рулона, упакованного в банку. Во избежание высыхания салфеток во время использования банка должна быть дополнительно запечатана пленкой и иметь герметичную откидную крышку размером 175 мм (В) х 127 мм (Д). В банке не менее 220 салфеток. Срок годности не менее 2-х лет. </w:t>
            </w:r>
          </w:p>
          <w:p w:rsidR="00DF5352" w:rsidRPr="002D1636" w:rsidRDefault="00DF5352" w:rsidP="002D16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352" w:rsidRPr="00FC1AD5" w:rsidRDefault="00081366" w:rsidP="0008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Банка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081366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34128C" w:rsidRPr="00AA054C" w:rsidTr="002D1636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34128C" w:rsidRPr="00FC1AD5" w:rsidRDefault="0034128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28C" w:rsidRPr="00FC1AD5" w:rsidRDefault="00081366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3 702 500</w:t>
            </w:r>
          </w:p>
        </w:tc>
      </w:tr>
    </w:tbl>
    <w:p w:rsidR="00F0375E" w:rsidRPr="00DF5352" w:rsidRDefault="00F0375E" w:rsidP="00F0375E">
      <w:pPr>
        <w:shd w:val="clear" w:color="auto" w:fill="FFFFFF"/>
        <w:jc w:val="both"/>
        <w:rPr>
          <w:sz w:val="18"/>
          <w:szCs w:val="18"/>
        </w:rPr>
      </w:pPr>
      <w:r w:rsidRPr="00DF5352">
        <w:rPr>
          <w:sz w:val="18"/>
          <w:szCs w:val="18"/>
        </w:rPr>
        <w:t>Пакет тендерной документации можно получить в срок до</w:t>
      </w:r>
      <w:r w:rsidR="00081366">
        <w:rPr>
          <w:sz w:val="18"/>
          <w:szCs w:val="18"/>
          <w:lang w:val="kk-KZ"/>
        </w:rPr>
        <w:t>01.04.</w:t>
      </w:r>
      <w:r w:rsidRPr="00DF5352">
        <w:rPr>
          <w:sz w:val="18"/>
          <w:szCs w:val="18"/>
        </w:rPr>
        <w:t>201</w:t>
      </w:r>
      <w:r w:rsidR="0034128C" w:rsidRPr="00DF5352">
        <w:rPr>
          <w:sz w:val="18"/>
          <w:szCs w:val="18"/>
          <w:lang w:val="kk-KZ"/>
        </w:rPr>
        <w:t>8</w:t>
      </w:r>
      <w:r w:rsidRPr="00DF5352">
        <w:rPr>
          <w:sz w:val="18"/>
          <w:szCs w:val="18"/>
        </w:rPr>
        <w:t xml:space="preserve"> года включительно по адресу: г. Актобе, </w:t>
      </w:r>
      <w:r w:rsidRPr="00DF5352">
        <w:rPr>
          <w:sz w:val="18"/>
          <w:szCs w:val="18"/>
          <w:lang w:val="kk-KZ"/>
        </w:rPr>
        <w:t>ул. Па</w:t>
      </w:r>
      <w:proofErr w:type="spellStart"/>
      <w:r w:rsidRPr="00DF5352">
        <w:rPr>
          <w:sz w:val="18"/>
          <w:szCs w:val="18"/>
        </w:rPr>
        <w:t>цаева</w:t>
      </w:r>
      <w:proofErr w:type="spellEnd"/>
      <w:r w:rsidRPr="00DF5352">
        <w:rPr>
          <w:sz w:val="18"/>
          <w:szCs w:val="18"/>
        </w:rPr>
        <w:t>, 7</w:t>
      </w:r>
      <w:r w:rsidRPr="00DF5352">
        <w:rPr>
          <w:sz w:val="18"/>
          <w:szCs w:val="18"/>
          <w:lang w:val="kk-KZ"/>
        </w:rPr>
        <w:t>,</w:t>
      </w:r>
      <w:r w:rsidRPr="00DF5352">
        <w:rPr>
          <w:sz w:val="18"/>
          <w:szCs w:val="18"/>
        </w:rPr>
        <w:t xml:space="preserve">  время с 9.00 часов до 11.00 часов </w:t>
      </w:r>
      <w:r w:rsidRPr="00DF5352">
        <w:rPr>
          <w:sz w:val="18"/>
          <w:szCs w:val="18"/>
          <w:lang w:val="kk-KZ"/>
        </w:rPr>
        <w:t xml:space="preserve">(по времени г. Актобе) </w:t>
      </w:r>
      <w:r w:rsidRPr="00DF5352">
        <w:rPr>
          <w:sz w:val="18"/>
          <w:szCs w:val="18"/>
        </w:rPr>
        <w:t xml:space="preserve">или по электронной почте по адресу </w:t>
      </w:r>
      <w:hyperlink r:id="rId5" w:history="1">
        <w:r w:rsidRPr="00DF5352">
          <w:rPr>
            <w:rStyle w:val="a4"/>
            <w:sz w:val="18"/>
            <w:szCs w:val="18"/>
            <w:lang w:val="kk-KZ"/>
          </w:rPr>
          <w:t>550400@inbox.ru</w:t>
        </w:r>
      </w:hyperlink>
      <w:r w:rsidRPr="00DF5352">
        <w:rPr>
          <w:sz w:val="18"/>
          <w:szCs w:val="18"/>
        </w:rPr>
        <w:t>.</w:t>
      </w:r>
    </w:p>
    <w:p w:rsidR="00F0375E" w:rsidRPr="00DF5352" w:rsidRDefault="00F0375E" w:rsidP="00F82DE6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DF5352">
        <w:rPr>
          <w:sz w:val="18"/>
          <w:szCs w:val="18"/>
        </w:rPr>
        <w:tab/>
      </w:r>
      <w:proofErr w:type="gramStart"/>
      <w:r w:rsidR="00F82DE6" w:rsidRPr="00DF5352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DF5352">
        <w:rPr>
          <w:color w:val="FF0000"/>
          <w:sz w:val="18"/>
          <w:szCs w:val="18"/>
        </w:rPr>
        <w:t xml:space="preserve"> г. Актобе, ул. </w:t>
      </w:r>
      <w:proofErr w:type="spellStart"/>
      <w:r w:rsidR="00F82DE6" w:rsidRPr="00DF5352">
        <w:rPr>
          <w:color w:val="FF0000"/>
          <w:sz w:val="18"/>
          <w:szCs w:val="18"/>
        </w:rPr>
        <w:t>Пацаева</w:t>
      </w:r>
      <w:proofErr w:type="spellEnd"/>
      <w:r w:rsidR="00F82DE6" w:rsidRPr="00DF5352">
        <w:rPr>
          <w:color w:val="FF0000"/>
          <w:sz w:val="18"/>
          <w:szCs w:val="1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DF5352">
        <w:rPr>
          <w:color w:val="FF0000"/>
          <w:sz w:val="18"/>
          <w:szCs w:val="18"/>
        </w:rPr>
        <w:t>Карасаева</w:t>
      </w:r>
      <w:proofErr w:type="spellEnd"/>
      <w:r w:rsidR="0034128C" w:rsidRPr="00DF5352">
        <w:rPr>
          <w:color w:val="FF0000"/>
          <w:sz w:val="18"/>
          <w:szCs w:val="18"/>
        </w:rPr>
        <w:t xml:space="preserve"> С.Т.</w:t>
      </w:r>
      <w:r w:rsidR="00F82DE6" w:rsidRPr="00DF5352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DF5352">
        <w:rPr>
          <w:sz w:val="18"/>
          <w:szCs w:val="18"/>
        </w:rPr>
        <w:t xml:space="preserve"> в срок до</w:t>
      </w:r>
      <w:r w:rsidR="00EC4812">
        <w:rPr>
          <w:color w:val="FF0000"/>
          <w:sz w:val="18"/>
          <w:szCs w:val="18"/>
          <w:lang w:val="kk-KZ"/>
        </w:rPr>
        <w:t>10</w:t>
      </w:r>
      <w:r w:rsidR="00EC4812" w:rsidRPr="00EC4812">
        <w:rPr>
          <w:color w:val="FF0000"/>
          <w:sz w:val="18"/>
          <w:szCs w:val="18"/>
        </w:rPr>
        <w:t>/</w:t>
      </w:r>
      <w:r w:rsidR="00081366">
        <w:rPr>
          <w:color w:val="FF0000"/>
          <w:sz w:val="18"/>
          <w:szCs w:val="18"/>
        </w:rPr>
        <w:t>.3</w:t>
      </w:r>
      <w:r w:rsidR="00F82DE6" w:rsidRPr="00DF5352">
        <w:rPr>
          <w:color w:val="FF0000"/>
          <w:sz w:val="18"/>
          <w:szCs w:val="18"/>
        </w:rPr>
        <w:t xml:space="preserve">0 ч. </w:t>
      </w:r>
      <w:r w:rsidR="00E569EB">
        <w:rPr>
          <w:color w:val="FF0000"/>
          <w:sz w:val="18"/>
          <w:szCs w:val="18"/>
          <w:u w:val="single"/>
        </w:rPr>
        <w:t>03</w:t>
      </w:r>
      <w:r w:rsidR="00F82DE6" w:rsidRPr="00DF5352">
        <w:rPr>
          <w:color w:val="FF0000"/>
          <w:sz w:val="18"/>
          <w:szCs w:val="18"/>
          <w:u w:val="single"/>
        </w:rPr>
        <w:t>.0</w:t>
      </w:r>
      <w:r w:rsidR="00E569EB">
        <w:rPr>
          <w:color w:val="FF0000"/>
          <w:sz w:val="18"/>
          <w:szCs w:val="18"/>
          <w:u w:val="single"/>
        </w:rPr>
        <w:t>4</w:t>
      </w:r>
      <w:r w:rsidR="00F82DE6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sz w:val="18"/>
          <w:szCs w:val="18"/>
        </w:rPr>
        <w:t>включительно.</w:t>
      </w:r>
      <w:proofErr w:type="gramEnd"/>
    </w:p>
    <w:p w:rsidR="0067604F" w:rsidRPr="00DF5352" w:rsidRDefault="0067604F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8"/>
          <w:szCs w:val="18"/>
          <w:lang w:eastAsia="en-US"/>
        </w:rPr>
      </w:pPr>
      <w:r w:rsidRPr="00DF5352">
        <w:rPr>
          <w:sz w:val="18"/>
          <w:szCs w:val="18"/>
        </w:rPr>
        <w:tab/>
      </w:r>
      <w:r w:rsidR="00F82DE6" w:rsidRPr="00DF5352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081366">
        <w:rPr>
          <w:color w:val="FF0000"/>
          <w:sz w:val="18"/>
          <w:szCs w:val="18"/>
        </w:rPr>
        <w:t>11;30</w:t>
      </w:r>
      <w:r w:rsidR="00F82DE6" w:rsidRPr="00DF5352">
        <w:rPr>
          <w:color w:val="FF0000"/>
          <w:sz w:val="18"/>
          <w:szCs w:val="18"/>
        </w:rPr>
        <w:t xml:space="preserve">  часов 00 минут </w:t>
      </w:r>
      <w:r w:rsidR="00EC4812" w:rsidRPr="00EC4812">
        <w:rPr>
          <w:color w:val="FF0000"/>
          <w:sz w:val="18"/>
          <w:szCs w:val="18"/>
          <w:u w:val="single"/>
        </w:rPr>
        <w:t>0</w:t>
      </w:r>
      <w:r w:rsidR="001D6250">
        <w:rPr>
          <w:color w:val="FF0000"/>
          <w:sz w:val="18"/>
          <w:szCs w:val="18"/>
          <w:u w:val="single"/>
        </w:rPr>
        <w:t>3.04</w:t>
      </w:r>
      <w:r w:rsidR="00EC4812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DF5352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738CB"/>
    <w:rsid w:val="00081366"/>
    <w:rsid w:val="000A1412"/>
    <w:rsid w:val="000E4A39"/>
    <w:rsid w:val="00141281"/>
    <w:rsid w:val="001702AB"/>
    <w:rsid w:val="001A3292"/>
    <w:rsid w:val="001C63CC"/>
    <w:rsid w:val="001D6250"/>
    <w:rsid w:val="002B75BF"/>
    <w:rsid w:val="002C302B"/>
    <w:rsid w:val="002D1636"/>
    <w:rsid w:val="00302010"/>
    <w:rsid w:val="0034128C"/>
    <w:rsid w:val="00367BA9"/>
    <w:rsid w:val="00380018"/>
    <w:rsid w:val="003D0E3C"/>
    <w:rsid w:val="004F1B22"/>
    <w:rsid w:val="00523D63"/>
    <w:rsid w:val="005B28A5"/>
    <w:rsid w:val="005B4AF7"/>
    <w:rsid w:val="00607099"/>
    <w:rsid w:val="0067604F"/>
    <w:rsid w:val="00680440"/>
    <w:rsid w:val="006D2C31"/>
    <w:rsid w:val="00701CD5"/>
    <w:rsid w:val="00757D37"/>
    <w:rsid w:val="00767921"/>
    <w:rsid w:val="00767F7B"/>
    <w:rsid w:val="00821425"/>
    <w:rsid w:val="008340F9"/>
    <w:rsid w:val="008717B2"/>
    <w:rsid w:val="00884774"/>
    <w:rsid w:val="0093268C"/>
    <w:rsid w:val="009935AC"/>
    <w:rsid w:val="009D3F1E"/>
    <w:rsid w:val="009E76F5"/>
    <w:rsid w:val="00A01DE8"/>
    <w:rsid w:val="00A252C5"/>
    <w:rsid w:val="00A44FFD"/>
    <w:rsid w:val="00AB380A"/>
    <w:rsid w:val="00AB44BD"/>
    <w:rsid w:val="00B25630"/>
    <w:rsid w:val="00B95169"/>
    <w:rsid w:val="00CC23BB"/>
    <w:rsid w:val="00D073A8"/>
    <w:rsid w:val="00D21514"/>
    <w:rsid w:val="00D26EEB"/>
    <w:rsid w:val="00DF5352"/>
    <w:rsid w:val="00E569EB"/>
    <w:rsid w:val="00EA193B"/>
    <w:rsid w:val="00EA73FB"/>
    <w:rsid w:val="00EC4812"/>
    <w:rsid w:val="00EE2DDD"/>
    <w:rsid w:val="00F0375E"/>
    <w:rsid w:val="00F038EB"/>
    <w:rsid w:val="00F82DE6"/>
    <w:rsid w:val="00FB757E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2018-02-06T09:24:00Z</cp:lastPrinted>
  <dcterms:created xsi:type="dcterms:W3CDTF">2019-03-15T11:04:00Z</dcterms:created>
  <dcterms:modified xsi:type="dcterms:W3CDTF">2019-03-15T11:09:00Z</dcterms:modified>
</cp:coreProperties>
</file>