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011187">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08110B">
        <w:rPr>
          <w:b/>
          <w:color w:val="auto"/>
          <w:sz w:val="16"/>
          <w:szCs w:val="16"/>
          <w:lang w:val="kk-KZ"/>
        </w:rPr>
        <w:t>84</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w:t>
      </w:r>
      <w:r w:rsidR="00A36FE7">
        <w:rPr>
          <w:b/>
          <w:color w:val="auto"/>
          <w:sz w:val="18"/>
          <w:szCs w:val="18"/>
          <w:lang w:val="kk-KZ"/>
        </w:rPr>
        <w:t xml:space="preserve">медициналық </w:t>
      </w:r>
      <w:r w:rsidR="0011556B">
        <w:rPr>
          <w:b/>
          <w:color w:val="auto"/>
          <w:sz w:val="18"/>
          <w:szCs w:val="18"/>
          <w:lang w:val="kk-KZ"/>
        </w:rPr>
        <w:t>шығын материалдарын</w:t>
      </w:r>
      <w:r w:rsidR="00A36FE7">
        <w:rPr>
          <w:b/>
          <w:color w:val="auto"/>
          <w:sz w:val="18"/>
          <w:szCs w:val="18"/>
          <w:lang w:val="kk-KZ"/>
        </w:rPr>
        <w:t xml:space="preserve"> </w:t>
      </w:r>
      <w:r>
        <w:rPr>
          <w:b/>
          <w:sz w:val="20"/>
          <w:szCs w:val="20"/>
          <w:lang w:val="kk-KZ"/>
        </w:rPr>
        <w:t xml:space="preserve"> </w:t>
      </w:r>
      <w:r w:rsidRPr="000F0035">
        <w:rPr>
          <w:b/>
          <w:sz w:val="20"/>
          <w:szCs w:val="20"/>
          <w:lang w:val="kk-KZ"/>
        </w:rPr>
        <w:t>мемлекеттік сатып алуды өткізу</w:t>
      </w:r>
      <w:r>
        <w:rPr>
          <w:b/>
          <w:sz w:val="20"/>
          <w:szCs w:val="20"/>
          <w:lang w:val="kk-KZ"/>
        </w:rPr>
        <w:t>і</w:t>
      </w:r>
      <w:r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Pr="003B5322">
        <w:rPr>
          <w:color w:val="auto"/>
          <w:sz w:val="16"/>
          <w:szCs w:val="16"/>
          <w:lang w:val="kk-KZ"/>
        </w:rPr>
        <w:t xml:space="preserve">                                                                                                                                                                                                                                                                         </w:t>
      </w:r>
      <w:r w:rsidR="0008110B">
        <w:rPr>
          <w:color w:val="auto"/>
          <w:sz w:val="16"/>
          <w:szCs w:val="16"/>
          <w:lang w:val="kk-KZ"/>
        </w:rPr>
        <w:t>15.12</w:t>
      </w:r>
      <w:r w:rsidRPr="003B5322">
        <w:rPr>
          <w:color w:val="auto"/>
          <w:sz w:val="16"/>
          <w:szCs w:val="16"/>
          <w:lang w:val="kk-KZ"/>
        </w:rPr>
        <w:t xml:space="preserve">.2022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4253"/>
        <w:gridCol w:w="708"/>
        <w:gridCol w:w="851"/>
        <w:gridCol w:w="1276"/>
        <w:gridCol w:w="850"/>
        <w:gridCol w:w="992"/>
        <w:gridCol w:w="851"/>
        <w:gridCol w:w="1276"/>
        <w:gridCol w:w="850"/>
        <w:gridCol w:w="1276"/>
      </w:tblGrid>
      <w:tr w:rsidR="000263E2" w:rsidRPr="0008110B" w:rsidTr="000263E2">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4253"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708"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850"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992"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851"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276"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276" w:type="dxa"/>
          </w:tcPr>
          <w:p w:rsidR="00AF1E2F" w:rsidRPr="00E503B3" w:rsidRDefault="00AF1E2F"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08110B" w:rsidRPr="00F234BD" w:rsidTr="0008110B">
        <w:trPr>
          <w:trHeight w:val="557"/>
        </w:trPr>
        <w:tc>
          <w:tcPr>
            <w:tcW w:w="567" w:type="dxa"/>
            <w:shd w:val="clear" w:color="auto" w:fill="auto"/>
            <w:vAlign w:val="center"/>
          </w:tcPr>
          <w:p w:rsidR="0008110B" w:rsidRPr="00F234BD" w:rsidRDefault="0008110B" w:rsidP="00F21AAF">
            <w:pPr>
              <w:jc w:val="center"/>
              <w:rPr>
                <w:sz w:val="16"/>
                <w:szCs w:val="16"/>
              </w:rPr>
            </w:pPr>
            <w:r w:rsidRPr="00F234BD">
              <w:rPr>
                <w:sz w:val="16"/>
                <w:szCs w:val="16"/>
              </w:rPr>
              <w:t>1</w:t>
            </w:r>
          </w:p>
        </w:tc>
        <w:tc>
          <w:tcPr>
            <w:tcW w:w="993" w:type="dxa"/>
            <w:vAlign w:val="center"/>
          </w:tcPr>
          <w:p w:rsidR="0008110B" w:rsidRPr="00F234BD" w:rsidRDefault="0008110B" w:rsidP="00F21AAF">
            <w:pPr>
              <w:jc w:val="center"/>
              <w:rPr>
                <w:sz w:val="16"/>
                <w:szCs w:val="16"/>
              </w:rPr>
            </w:pPr>
            <w:r>
              <w:rPr>
                <w:sz w:val="16"/>
                <w:szCs w:val="16"/>
              </w:rPr>
              <w:t>КОА</w:t>
            </w:r>
          </w:p>
        </w:tc>
        <w:tc>
          <w:tcPr>
            <w:tcW w:w="992" w:type="dxa"/>
            <w:shd w:val="clear" w:color="auto" w:fill="auto"/>
            <w:vAlign w:val="center"/>
          </w:tcPr>
          <w:p w:rsidR="0008110B" w:rsidRPr="0008110B" w:rsidRDefault="0008110B" w:rsidP="0008110B">
            <w:pPr>
              <w:jc w:val="center"/>
              <w:rPr>
                <w:sz w:val="18"/>
                <w:szCs w:val="18"/>
              </w:rPr>
            </w:pPr>
            <w:r w:rsidRPr="0008110B">
              <w:rPr>
                <w:sz w:val="18"/>
                <w:szCs w:val="18"/>
              </w:rPr>
              <w:t xml:space="preserve">Шуруп из комплекта </w:t>
            </w:r>
            <w:proofErr w:type="spellStart"/>
            <w:r w:rsidRPr="0008110B">
              <w:rPr>
                <w:color w:val="333333"/>
                <w:sz w:val="18"/>
                <w:szCs w:val="18"/>
                <w:shd w:val="clear" w:color="auto" w:fill="FFFFFF"/>
              </w:rPr>
              <w:t>Эндокорре</w:t>
            </w:r>
            <w:r w:rsidRPr="0008110B">
              <w:rPr>
                <w:color w:val="333333"/>
                <w:sz w:val="18"/>
                <w:szCs w:val="18"/>
                <w:shd w:val="clear" w:color="auto" w:fill="FFFFFF"/>
              </w:rPr>
              <w:t>к</w:t>
            </w:r>
            <w:r w:rsidRPr="0008110B">
              <w:rPr>
                <w:color w:val="333333"/>
                <w:sz w:val="18"/>
                <w:szCs w:val="18"/>
                <w:shd w:val="clear" w:color="auto" w:fill="FFFFFF"/>
              </w:rPr>
              <w:t>тор-фиксатор</w:t>
            </w:r>
            <w:proofErr w:type="spellEnd"/>
            <w:r w:rsidRPr="0008110B">
              <w:rPr>
                <w:color w:val="333333"/>
                <w:sz w:val="18"/>
                <w:szCs w:val="18"/>
                <w:shd w:val="clear" w:color="auto" w:fill="FFFFFF"/>
              </w:rPr>
              <w:t xml:space="preserve"> позвоночника униве</w:t>
            </w:r>
            <w:r w:rsidRPr="0008110B">
              <w:rPr>
                <w:color w:val="333333"/>
                <w:sz w:val="18"/>
                <w:szCs w:val="18"/>
                <w:shd w:val="clear" w:color="auto" w:fill="FFFFFF"/>
              </w:rPr>
              <w:t>р</w:t>
            </w:r>
            <w:r w:rsidRPr="0008110B">
              <w:rPr>
                <w:color w:val="333333"/>
                <w:sz w:val="18"/>
                <w:szCs w:val="18"/>
                <w:shd w:val="clear" w:color="auto" w:fill="FFFFFF"/>
              </w:rPr>
              <w:t>сальный с монтажным инструме</w:t>
            </w:r>
            <w:r w:rsidRPr="0008110B">
              <w:rPr>
                <w:color w:val="333333"/>
                <w:sz w:val="18"/>
                <w:szCs w:val="18"/>
                <w:shd w:val="clear" w:color="auto" w:fill="FFFFFF"/>
              </w:rPr>
              <w:t>н</w:t>
            </w:r>
            <w:r w:rsidRPr="0008110B">
              <w:rPr>
                <w:color w:val="333333"/>
                <w:sz w:val="18"/>
                <w:szCs w:val="18"/>
                <w:shd w:val="clear" w:color="auto" w:fill="FFFFFF"/>
              </w:rPr>
              <w:t>том</w:t>
            </w:r>
          </w:p>
        </w:tc>
        <w:tc>
          <w:tcPr>
            <w:tcW w:w="4253" w:type="dxa"/>
            <w:vAlign w:val="center"/>
          </w:tcPr>
          <w:p w:rsidR="0008110B" w:rsidRPr="0008110B" w:rsidRDefault="0008110B" w:rsidP="0008110B">
            <w:pPr>
              <w:tabs>
                <w:tab w:val="left" w:pos="3795"/>
              </w:tabs>
              <w:jc w:val="both"/>
              <w:rPr>
                <w:bCs/>
                <w:sz w:val="18"/>
                <w:szCs w:val="18"/>
              </w:rPr>
            </w:pPr>
            <w:r w:rsidRPr="0008110B">
              <w:rPr>
                <w:b/>
                <w:i/>
                <w:iCs/>
                <w:sz w:val="18"/>
                <w:szCs w:val="18"/>
              </w:rPr>
              <w:t>Шуруп–</w:t>
            </w:r>
            <w:r w:rsidRPr="0008110B">
              <w:rPr>
                <w:bCs/>
                <w:sz w:val="18"/>
                <w:szCs w:val="18"/>
              </w:rPr>
              <w:t>предназначены для проведения операции на грудном и поясни</w:t>
            </w:r>
            <w:r w:rsidRPr="0008110B">
              <w:rPr>
                <w:bCs/>
                <w:sz w:val="18"/>
                <w:szCs w:val="18"/>
              </w:rPr>
              <w:t>ч</w:t>
            </w:r>
            <w:r w:rsidRPr="0008110B">
              <w:rPr>
                <w:bCs/>
                <w:sz w:val="18"/>
                <w:szCs w:val="18"/>
              </w:rPr>
              <w:t>ном отделах позвоночника при его повреждениях и заболеваниях. Шурупы   изготовлены из титанового спл</w:t>
            </w:r>
            <w:r w:rsidRPr="0008110B">
              <w:rPr>
                <w:bCs/>
                <w:sz w:val="18"/>
                <w:szCs w:val="18"/>
              </w:rPr>
              <w:t>а</w:t>
            </w:r>
            <w:r w:rsidRPr="0008110B">
              <w:rPr>
                <w:bCs/>
                <w:sz w:val="18"/>
                <w:szCs w:val="18"/>
              </w:rPr>
              <w:t>ва (</w:t>
            </w:r>
            <w:proofErr w:type="gramStart"/>
            <w:r w:rsidRPr="0008110B">
              <w:rPr>
                <w:bCs/>
                <w:sz w:val="18"/>
                <w:szCs w:val="18"/>
              </w:rPr>
              <w:t>ВТ</w:t>
            </w:r>
            <w:proofErr w:type="gramEnd"/>
            <w:r w:rsidRPr="0008110B">
              <w:rPr>
                <w:bCs/>
                <w:sz w:val="18"/>
                <w:szCs w:val="18"/>
              </w:rPr>
              <w:t xml:space="preserve"> 1-0, ВТ-6), разрешённого к применению в </w:t>
            </w:r>
            <w:proofErr w:type="spellStart"/>
            <w:r w:rsidRPr="0008110B">
              <w:rPr>
                <w:bCs/>
                <w:sz w:val="18"/>
                <w:szCs w:val="18"/>
              </w:rPr>
              <w:t>имплантологии</w:t>
            </w:r>
            <w:proofErr w:type="spellEnd"/>
            <w:r w:rsidRPr="0008110B">
              <w:rPr>
                <w:bCs/>
                <w:sz w:val="18"/>
                <w:szCs w:val="18"/>
              </w:rPr>
              <w:t>, и обладающими высокими прочностными х</w:t>
            </w:r>
            <w:r w:rsidRPr="0008110B">
              <w:rPr>
                <w:bCs/>
                <w:sz w:val="18"/>
                <w:szCs w:val="18"/>
              </w:rPr>
              <w:t>а</w:t>
            </w:r>
            <w:r w:rsidRPr="0008110B">
              <w:rPr>
                <w:bCs/>
                <w:sz w:val="18"/>
                <w:szCs w:val="18"/>
              </w:rPr>
              <w:t>рактеристиками, позволяющего проводить компьютерную томографию (КТ) и магнитно-резонансную томографию (МРТ).</w:t>
            </w:r>
            <w:bookmarkStart w:id="0" w:name="_Hlk31957707"/>
            <w:r w:rsidRPr="0008110B">
              <w:rPr>
                <w:bCs/>
                <w:sz w:val="18"/>
                <w:szCs w:val="18"/>
              </w:rPr>
              <w:t xml:space="preserve"> </w:t>
            </w:r>
            <w:proofErr w:type="gramStart"/>
            <w:r w:rsidRPr="0008110B">
              <w:rPr>
                <w:bCs/>
                <w:sz w:val="18"/>
                <w:szCs w:val="18"/>
              </w:rPr>
              <w:t xml:space="preserve">Шуруп </w:t>
            </w:r>
            <w:bookmarkEnd w:id="0"/>
            <w:r w:rsidRPr="0008110B">
              <w:rPr>
                <w:bCs/>
                <w:sz w:val="18"/>
                <w:szCs w:val="18"/>
              </w:rPr>
              <w:t xml:space="preserve">  соединяться со стержнем п</w:t>
            </w:r>
            <w:r w:rsidRPr="0008110B">
              <w:rPr>
                <w:bCs/>
                <w:sz w:val="18"/>
                <w:szCs w:val="18"/>
              </w:rPr>
              <w:t>о</w:t>
            </w:r>
            <w:r w:rsidRPr="0008110B">
              <w:rPr>
                <w:bCs/>
                <w:sz w:val="18"/>
                <w:szCs w:val="18"/>
              </w:rPr>
              <w:t>средством специального разрезного модуля (</w:t>
            </w:r>
            <w:proofErr w:type="spellStart"/>
            <w:r w:rsidRPr="0008110B">
              <w:rPr>
                <w:bCs/>
                <w:sz w:val="18"/>
                <w:szCs w:val="18"/>
              </w:rPr>
              <w:t>межстержневой</w:t>
            </w:r>
            <w:proofErr w:type="spellEnd"/>
            <w:r w:rsidRPr="0008110B">
              <w:rPr>
                <w:bCs/>
                <w:sz w:val="18"/>
                <w:szCs w:val="18"/>
              </w:rPr>
              <w:t xml:space="preserve"> стабилизатор), обеспечивающего надежную фиксацию шур</w:t>
            </w:r>
            <w:r w:rsidRPr="0008110B">
              <w:rPr>
                <w:bCs/>
                <w:sz w:val="18"/>
                <w:szCs w:val="18"/>
              </w:rPr>
              <w:t>у</w:t>
            </w:r>
            <w:r w:rsidRPr="0008110B">
              <w:rPr>
                <w:bCs/>
                <w:sz w:val="18"/>
                <w:szCs w:val="18"/>
              </w:rPr>
              <w:t>па и стержня и позволяющему устанавливать шуруп под необходимым углом к стержню во время операции.</w:t>
            </w:r>
            <w:proofErr w:type="gramEnd"/>
            <w:r w:rsidRPr="0008110B">
              <w:rPr>
                <w:bCs/>
                <w:sz w:val="18"/>
                <w:szCs w:val="18"/>
              </w:rPr>
              <w:t xml:space="preserve"> В зависимости от операционной обстановки </w:t>
            </w:r>
            <w:proofErr w:type="spellStart"/>
            <w:r w:rsidRPr="0008110B">
              <w:rPr>
                <w:bCs/>
                <w:sz w:val="18"/>
                <w:szCs w:val="18"/>
              </w:rPr>
              <w:t>межстержневой</w:t>
            </w:r>
            <w:proofErr w:type="spellEnd"/>
            <w:r w:rsidRPr="0008110B">
              <w:rPr>
                <w:bCs/>
                <w:sz w:val="18"/>
                <w:szCs w:val="18"/>
              </w:rPr>
              <w:t xml:space="preserve"> стаб</w:t>
            </w:r>
            <w:r w:rsidRPr="0008110B">
              <w:rPr>
                <w:bCs/>
                <w:sz w:val="18"/>
                <w:szCs w:val="18"/>
              </w:rPr>
              <w:t>и</w:t>
            </w:r>
            <w:r w:rsidRPr="0008110B">
              <w:rPr>
                <w:bCs/>
                <w:sz w:val="18"/>
                <w:szCs w:val="18"/>
              </w:rPr>
              <w:t xml:space="preserve">лизатор штанга-винт имеет возможность установки сверху, сбоку или под стержнем. </w:t>
            </w:r>
            <w:proofErr w:type="spellStart"/>
            <w:r w:rsidRPr="0008110B">
              <w:rPr>
                <w:bCs/>
                <w:sz w:val="18"/>
                <w:szCs w:val="18"/>
              </w:rPr>
              <w:t>Межстержневой</w:t>
            </w:r>
            <w:proofErr w:type="spellEnd"/>
            <w:r w:rsidRPr="0008110B">
              <w:rPr>
                <w:bCs/>
                <w:sz w:val="18"/>
                <w:szCs w:val="18"/>
              </w:rPr>
              <w:t xml:space="preserve"> стабилизатор штанга-винт обеспечивает фиксацию шурупа в трех плоскостях</w:t>
            </w:r>
            <w:proofErr w:type="gramStart"/>
            <w:r w:rsidRPr="0008110B">
              <w:rPr>
                <w:bCs/>
                <w:sz w:val="18"/>
                <w:szCs w:val="18"/>
              </w:rPr>
              <w:t>.</w:t>
            </w:r>
            <w:proofErr w:type="gramEnd"/>
            <w:r w:rsidRPr="0008110B">
              <w:rPr>
                <w:bCs/>
                <w:sz w:val="18"/>
                <w:szCs w:val="18"/>
              </w:rPr>
              <w:t xml:space="preserve"> </w:t>
            </w:r>
            <w:proofErr w:type="gramStart"/>
            <w:r w:rsidRPr="0008110B">
              <w:rPr>
                <w:bCs/>
                <w:sz w:val="18"/>
                <w:szCs w:val="18"/>
              </w:rPr>
              <w:t>ш</w:t>
            </w:r>
            <w:proofErr w:type="gramEnd"/>
            <w:r w:rsidRPr="0008110B">
              <w:rPr>
                <w:bCs/>
                <w:sz w:val="18"/>
                <w:szCs w:val="18"/>
              </w:rPr>
              <w:t xml:space="preserve">уруп  имеет </w:t>
            </w:r>
            <w:proofErr w:type="spellStart"/>
            <w:r w:rsidRPr="0008110B">
              <w:rPr>
                <w:bCs/>
                <w:sz w:val="18"/>
                <w:szCs w:val="18"/>
              </w:rPr>
              <w:t>самонарезающу</w:t>
            </w:r>
            <w:r w:rsidRPr="0008110B">
              <w:rPr>
                <w:bCs/>
                <w:sz w:val="18"/>
                <w:szCs w:val="18"/>
              </w:rPr>
              <w:t>ю</w:t>
            </w:r>
            <w:r w:rsidRPr="0008110B">
              <w:rPr>
                <w:bCs/>
                <w:sz w:val="18"/>
                <w:szCs w:val="18"/>
              </w:rPr>
              <w:t>ся</w:t>
            </w:r>
            <w:proofErr w:type="spellEnd"/>
            <w:r w:rsidRPr="0008110B">
              <w:rPr>
                <w:bCs/>
                <w:sz w:val="18"/>
                <w:szCs w:val="18"/>
              </w:rPr>
              <w:t xml:space="preserve"> коническую резьбу, компрессирующую в той части, которая находится в ножке позвонка с во</w:t>
            </w:r>
            <w:r w:rsidRPr="0008110B">
              <w:rPr>
                <w:bCs/>
                <w:sz w:val="18"/>
                <w:szCs w:val="18"/>
              </w:rPr>
              <w:t>з</w:t>
            </w:r>
            <w:r w:rsidRPr="0008110B">
              <w:rPr>
                <w:bCs/>
                <w:sz w:val="18"/>
                <w:szCs w:val="18"/>
              </w:rPr>
              <w:t>можностью выкручивания с сохранением нарезной резьбы в позвонке. Кончик шурупа  имеет т</w:t>
            </w:r>
            <w:r w:rsidRPr="0008110B">
              <w:rPr>
                <w:bCs/>
                <w:sz w:val="18"/>
                <w:szCs w:val="18"/>
              </w:rPr>
              <w:t>у</w:t>
            </w:r>
            <w:r w:rsidRPr="0008110B">
              <w:rPr>
                <w:bCs/>
                <w:sz w:val="18"/>
                <w:szCs w:val="18"/>
              </w:rPr>
              <w:t>пую форму (60°)  для предотвращения повреждения кровеносных сосудов и спинного мозга. О</w:t>
            </w:r>
            <w:r w:rsidRPr="0008110B">
              <w:rPr>
                <w:bCs/>
                <w:sz w:val="18"/>
                <w:szCs w:val="18"/>
              </w:rPr>
              <w:t>б</w:t>
            </w:r>
            <w:r w:rsidRPr="0008110B">
              <w:rPr>
                <w:bCs/>
                <w:sz w:val="18"/>
                <w:szCs w:val="18"/>
              </w:rPr>
              <w:t xml:space="preserve">щая величина степени свободы вращения </w:t>
            </w:r>
            <w:r w:rsidRPr="0008110B">
              <w:rPr>
                <w:bCs/>
                <w:sz w:val="18"/>
                <w:szCs w:val="18"/>
              </w:rPr>
              <w:lastRenderedPageBreak/>
              <w:t xml:space="preserve">должна быть не менее 36° при любом диаметре ножки шурупа. Шуруп   имеет специальный 6-ти </w:t>
            </w:r>
            <w:proofErr w:type="spellStart"/>
            <w:r w:rsidRPr="0008110B">
              <w:rPr>
                <w:bCs/>
                <w:sz w:val="18"/>
                <w:szCs w:val="18"/>
              </w:rPr>
              <w:t>гранник</w:t>
            </w:r>
            <w:proofErr w:type="spellEnd"/>
            <w:r w:rsidRPr="0008110B">
              <w:rPr>
                <w:bCs/>
                <w:sz w:val="18"/>
                <w:szCs w:val="18"/>
              </w:rPr>
              <w:t xml:space="preserve"> для инструментальной установки. </w:t>
            </w:r>
          </w:p>
        </w:tc>
        <w:tc>
          <w:tcPr>
            <w:tcW w:w="708" w:type="dxa"/>
            <w:shd w:val="clear" w:color="auto" w:fill="auto"/>
            <w:vAlign w:val="center"/>
          </w:tcPr>
          <w:p w:rsidR="0008110B" w:rsidRPr="005A6456" w:rsidRDefault="0008110B" w:rsidP="00F21AAF">
            <w:pPr>
              <w:jc w:val="center"/>
              <w:rPr>
                <w:sz w:val="18"/>
                <w:szCs w:val="18"/>
                <w:lang w:val="kk-KZ"/>
              </w:rPr>
            </w:pPr>
            <w:r>
              <w:rPr>
                <w:sz w:val="18"/>
                <w:szCs w:val="18"/>
                <w:lang w:val="kk-KZ"/>
              </w:rPr>
              <w:lastRenderedPageBreak/>
              <w:t>дана</w:t>
            </w:r>
          </w:p>
        </w:tc>
        <w:tc>
          <w:tcPr>
            <w:tcW w:w="851" w:type="dxa"/>
            <w:shd w:val="clear" w:color="auto" w:fill="auto"/>
            <w:vAlign w:val="center"/>
          </w:tcPr>
          <w:p w:rsidR="0008110B" w:rsidRPr="005A6456" w:rsidRDefault="0008110B" w:rsidP="00F21AAF">
            <w:pPr>
              <w:jc w:val="center"/>
              <w:rPr>
                <w:sz w:val="18"/>
                <w:szCs w:val="18"/>
              </w:rPr>
            </w:pPr>
            <w:r>
              <w:rPr>
                <w:sz w:val="18"/>
                <w:szCs w:val="18"/>
              </w:rPr>
              <w:t>4</w:t>
            </w:r>
          </w:p>
        </w:tc>
        <w:tc>
          <w:tcPr>
            <w:tcW w:w="1276" w:type="dxa"/>
            <w:shd w:val="clear" w:color="auto" w:fill="auto"/>
            <w:vAlign w:val="center"/>
          </w:tcPr>
          <w:p w:rsidR="0008110B" w:rsidRPr="00E503B3" w:rsidRDefault="0008110B" w:rsidP="00F1051F">
            <w:pPr>
              <w:jc w:val="center"/>
              <w:rPr>
                <w:sz w:val="18"/>
                <w:szCs w:val="18"/>
              </w:rPr>
            </w:pPr>
          </w:p>
          <w:p w:rsidR="0008110B" w:rsidRPr="00E503B3" w:rsidRDefault="0008110B" w:rsidP="00F1051F">
            <w:pPr>
              <w:jc w:val="center"/>
              <w:rPr>
                <w:sz w:val="18"/>
                <w:szCs w:val="18"/>
              </w:rPr>
            </w:pPr>
            <w:r w:rsidRPr="00E503B3">
              <w:rPr>
                <w:sz w:val="18"/>
                <w:szCs w:val="18"/>
              </w:rPr>
              <w:t>DDP</w:t>
            </w:r>
          </w:p>
        </w:tc>
        <w:tc>
          <w:tcPr>
            <w:tcW w:w="850" w:type="dxa"/>
            <w:shd w:val="clear" w:color="auto" w:fill="auto"/>
            <w:vAlign w:val="center"/>
          </w:tcPr>
          <w:p w:rsidR="0008110B" w:rsidRPr="00E503B3" w:rsidRDefault="0008110B"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2" w:type="dxa"/>
            <w:vAlign w:val="center"/>
          </w:tcPr>
          <w:p w:rsidR="0008110B" w:rsidRPr="00E503B3" w:rsidRDefault="0008110B" w:rsidP="00F1051F">
            <w:pPr>
              <w:jc w:val="center"/>
              <w:rPr>
                <w:sz w:val="18"/>
                <w:szCs w:val="18"/>
                <w:lang w:val="kk-KZ"/>
              </w:rPr>
            </w:pPr>
            <w:r w:rsidRPr="00E503B3">
              <w:rPr>
                <w:sz w:val="18"/>
                <w:szCs w:val="18"/>
                <w:lang w:val="kk-KZ"/>
              </w:rPr>
              <w:t>Ақтөбе қаласы, Пацаева көшесі 7</w:t>
            </w:r>
          </w:p>
        </w:tc>
        <w:tc>
          <w:tcPr>
            <w:tcW w:w="851" w:type="dxa"/>
            <w:vAlign w:val="center"/>
          </w:tcPr>
          <w:p w:rsidR="0008110B" w:rsidRPr="00E503B3" w:rsidRDefault="0008110B" w:rsidP="00F1051F">
            <w:pPr>
              <w:jc w:val="center"/>
              <w:rPr>
                <w:sz w:val="18"/>
                <w:szCs w:val="18"/>
              </w:rPr>
            </w:pPr>
            <w:r w:rsidRPr="00E503B3">
              <w:rPr>
                <w:sz w:val="18"/>
                <w:szCs w:val="18"/>
              </w:rPr>
              <w:t>0</w:t>
            </w:r>
          </w:p>
        </w:tc>
        <w:tc>
          <w:tcPr>
            <w:tcW w:w="1276" w:type="dxa"/>
            <w:vAlign w:val="center"/>
          </w:tcPr>
          <w:p w:rsidR="0008110B" w:rsidRPr="00A62F7E" w:rsidRDefault="0008110B"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08110B" w:rsidRPr="0008110B" w:rsidRDefault="0008110B" w:rsidP="008269DF">
            <w:pPr>
              <w:jc w:val="center"/>
              <w:rPr>
                <w:sz w:val="18"/>
                <w:szCs w:val="18"/>
              </w:rPr>
            </w:pPr>
            <w:r w:rsidRPr="0008110B">
              <w:rPr>
                <w:sz w:val="18"/>
                <w:szCs w:val="18"/>
              </w:rPr>
              <w:t>90 514</w:t>
            </w:r>
          </w:p>
        </w:tc>
        <w:tc>
          <w:tcPr>
            <w:tcW w:w="1276" w:type="dxa"/>
            <w:vAlign w:val="center"/>
          </w:tcPr>
          <w:p w:rsidR="0008110B" w:rsidRPr="0008110B" w:rsidRDefault="0008110B" w:rsidP="0008110B">
            <w:pPr>
              <w:jc w:val="center"/>
              <w:rPr>
                <w:sz w:val="18"/>
                <w:szCs w:val="18"/>
              </w:rPr>
            </w:pPr>
            <w:r w:rsidRPr="0008110B">
              <w:rPr>
                <w:sz w:val="18"/>
                <w:szCs w:val="18"/>
              </w:rPr>
              <w:t>362 </w:t>
            </w:r>
            <w:r>
              <w:rPr>
                <w:sz w:val="18"/>
                <w:szCs w:val="18"/>
              </w:rPr>
              <w:t>056</w:t>
            </w:r>
          </w:p>
        </w:tc>
      </w:tr>
      <w:tr w:rsidR="00DD4294" w:rsidRPr="00AA054C" w:rsidTr="000263E2">
        <w:trPr>
          <w:trHeight w:val="135"/>
        </w:trPr>
        <w:tc>
          <w:tcPr>
            <w:tcW w:w="12333"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lastRenderedPageBreak/>
              <w:t>ИТОГО</w:t>
            </w:r>
          </w:p>
        </w:tc>
        <w:tc>
          <w:tcPr>
            <w:tcW w:w="1276"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276" w:type="dxa"/>
          </w:tcPr>
          <w:p w:rsidR="00DD4294" w:rsidRPr="0008110B" w:rsidRDefault="0008110B" w:rsidP="00F21AAF">
            <w:pPr>
              <w:ind w:left="53" w:hanging="53"/>
              <w:jc w:val="center"/>
              <w:rPr>
                <w:b/>
                <w:sz w:val="18"/>
                <w:szCs w:val="18"/>
              </w:rPr>
            </w:pPr>
            <w:r>
              <w:rPr>
                <w:b/>
                <w:sz w:val="18"/>
                <w:szCs w:val="18"/>
              </w:rPr>
              <w:t>362 056</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EF3B46">
        <w:rPr>
          <w:color w:val="auto"/>
          <w:sz w:val="18"/>
          <w:szCs w:val="18"/>
          <w:lang w:val="kk-KZ"/>
        </w:rPr>
        <w:t>берудің соңғы мерзімі сағат 10.00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EF3B46">
        <w:rPr>
          <w:color w:val="auto"/>
          <w:sz w:val="18"/>
          <w:szCs w:val="18"/>
          <w:lang w:val="kk-KZ"/>
        </w:rPr>
        <w:t>2</w:t>
      </w:r>
      <w:r w:rsidR="0008110B">
        <w:rPr>
          <w:color w:val="auto"/>
          <w:sz w:val="18"/>
          <w:szCs w:val="18"/>
          <w:lang w:val="kk-KZ"/>
        </w:rPr>
        <w:t>2</w:t>
      </w:r>
      <w:r w:rsidR="00AF1E2F">
        <w:rPr>
          <w:color w:val="auto"/>
          <w:sz w:val="18"/>
          <w:szCs w:val="18"/>
          <w:lang w:val="kk-KZ"/>
        </w:rPr>
        <w:t xml:space="preserve"> </w:t>
      </w:r>
      <w:r w:rsidR="0008110B">
        <w:rPr>
          <w:color w:val="auto"/>
          <w:sz w:val="18"/>
          <w:szCs w:val="18"/>
          <w:lang w:val="kk-KZ"/>
        </w:rPr>
        <w:t xml:space="preserve">желтоқсан </w:t>
      </w:r>
      <w:r w:rsidR="00AF1E2F">
        <w:rPr>
          <w:color w:val="auto"/>
          <w:sz w:val="18"/>
          <w:szCs w:val="18"/>
          <w:lang w:val="kk-KZ"/>
        </w:rPr>
        <w:t xml:space="preserve"> </w:t>
      </w:r>
      <w:r>
        <w:rPr>
          <w:color w:val="auto"/>
          <w:sz w:val="18"/>
          <w:szCs w:val="18"/>
          <w:lang w:val="kk-KZ"/>
        </w:rPr>
        <w:t xml:space="preserve">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EF3B46">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08110B">
        <w:rPr>
          <w:color w:val="auto"/>
          <w:sz w:val="18"/>
          <w:szCs w:val="18"/>
          <w:lang w:val="kk-KZ"/>
        </w:rPr>
        <w:t>22 желтоқсан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color w:val="auto"/>
          <w:sz w:val="16"/>
          <w:szCs w:val="16"/>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263E2"/>
    <w:rsid w:val="00044887"/>
    <w:rsid w:val="00047280"/>
    <w:rsid w:val="000500F8"/>
    <w:rsid w:val="0005132A"/>
    <w:rsid w:val="000738CB"/>
    <w:rsid w:val="0008110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72A7"/>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C2ACB"/>
    <w:rsid w:val="004C36FB"/>
    <w:rsid w:val="004D2B7A"/>
    <w:rsid w:val="004E0C23"/>
    <w:rsid w:val="004E21DA"/>
    <w:rsid w:val="004F1B22"/>
    <w:rsid w:val="004F66EB"/>
    <w:rsid w:val="005210AD"/>
    <w:rsid w:val="00522DD1"/>
    <w:rsid w:val="00523EDE"/>
    <w:rsid w:val="005311E5"/>
    <w:rsid w:val="00535AE4"/>
    <w:rsid w:val="00553482"/>
    <w:rsid w:val="0055455B"/>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2C59"/>
    <w:rsid w:val="0067604F"/>
    <w:rsid w:val="0067699A"/>
    <w:rsid w:val="006A3097"/>
    <w:rsid w:val="006A31E4"/>
    <w:rsid w:val="006A3C9F"/>
    <w:rsid w:val="006B345C"/>
    <w:rsid w:val="006B5A4B"/>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3148"/>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827BD"/>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0516"/>
    <w:rsid w:val="00BE6445"/>
    <w:rsid w:val="00C02FDC"/>
    <w:rsid w:val="00C05F48"/>
    <w:rsid w:val="00C21050"/>
    <w:rsid w:val="00C23478"/>
    <w:rsid w:val="00C260A5"/>
    <w:rsid w:val="00C3225C"/>
    <w:rsid w:val="00C331A6"/>
    <w:rsid w:val="00C52CE6"/>
    <w:rsid w:val="00C54F78"/>
    <w:rsid w:val="00C55B4A"/>
    <w:rsid w:val="00C57597"/>
    <w:rsid w:val="00C6184C"/>
    <w:rsid w:val="00C76E56"/>
    <w:rsid w:val="00C93BAA"/>
    <w:rsid w:val="00CB11A5"/>
    <w:rsid w:val="00CB40FE"/>
    <w:rsid w:val="00CB7F40"/>
    <w:rsid w:val="00CC23BB"/>
    <w:rsid w:val="00CC4896"/>
    <w:rsid w:val="00CC568F"/>
    <w:rsid w:val="00CC66F7"/>
    <w:rsid w:val="00CD095C"/>
    <w:rsid w:val="00CD431D"/>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2404"/>
    <w:rsid w:val="00DC6F8A"/>
    <w:rsid w:val="00DD4294"/>
    <w:rsid w:val="00DD734D"/>
    <w:rsid w:val="00DF5352"/>
    <w:rsid w:val="00E110E7"/>
    <w:rsid w:val="00E13D8C"/>
    <w:rsid w:val="00E1668B"/>
    <w:rsid w:val="00E21421"/>
    <w:rsid w:val="00E2206F"/>
    <w:rsid w:val="00E22CE3"/>
    <w:rsid w:val="00E34814"/>
    <w:rsid w:val="00E41D0C"/>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4B69"/>
    <w:rsid w:val="00F21AAF"/>
    <w:rsid w:val="00F234BD"/>
    <w:rsid w:val="00F258FA"/>
    <w:rsid w:val="00F30677"/>
    <w:rsid w:val="00F30BFB"/>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2022-11-18T06:56:00Z</cp:lastPrinted>
  <dcterms:created xsi:type="dcterms:W3CDTF">2022-12-15T09:06:00Z</dcterms:created>
  <dcterms:modified xsi:type="dcterms:W3CDTF">2022-12-15T09:11:00Z</dcterms:modified>
</cp:coreProperties>
</file>