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A4" w:rsidRDefault="00334DA4" w:rsidP="00334DA4">
      <w:pPr>
        <w:jc w:val="right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27.10.2023 ж.</w:t>
      </w:r>
    </w:p>
    <w:p w:rsidR="00B7576E" w:rsidRPr="0065446E" w:rsidRDefault="00B7576E" w:rsidP="00334DA4">
      <w:pPr>
        <w:jc w:val="center"/>
        <w:rPr>
          <w:b/>
          <w:bCs/>
          <w:sz w:val="16"/>
          <w:szCs w:val="16"/>
          <w:lang w:val="kk-KZ"/>
        </w:rPr>
      </w:pPr>
      <w:proofErr w:type="spellStart"/>
      <w:r w:rsidRPr="00B7576E">
        <w:rPr>
          <w:b/>
          <w:sz w:val="18"/>
          <w:szCs w:val="18"/>
        </w:rPr>
        <w:t>Хабарландыру</w:t>
      </w:r>
      <w:proofErr w:type="spellEnd"/>
      <w:r w:rsidRPr="00B7576E">
        <w:rPr>
          <w:b/>
          <w:sz w:val="18"/>
          <w:szCs w:val="18"/>
        </w:rPr>
        <w:t xml:space="preserve"> №</w:t>
      </w:r>
      <w:r w:rsidR="00334DA4">
        <w:rPr>
          <w:b/>
          <w:sz w:val="18"/>
          <w:szCs w:val="18"/>
          <w:lang w:val="kk-KZ"/>
        </w:rPr>
        <w:t xml:space="preserve"> 70</w:t>
      </w:r>
    </w:p>
    <w:p w:rsidR="00F82DE6" w:rsidRPr="00B7576E" w:rsidRDefault="00357066" w:rsidP="00590A06">
      <w:pPr>
        <w:jc w:val="center"/>
        <w:rPr>
          <w:b/>
          <w:sz w:val="16"/>
          <w:szCs w:val="16"/>
          <w:lang w:val="kk-KZ"/>
        </w:rPr>
      </w:pPr>
      <w:r>
        <w:rPr>
          <w:rFonts w:ascii="Arial" w:hAnsi="Arial" w:cs="Arial"/>
          <w:color w:val="FFFFFF"/>
          <w:sz w:val="20"/>
          <w:szCs w:val="20"/>
          <w:lang w:val="kk-KZ"/>
        </w:rPr>
        <w:t>ендер</w:t>
      </w:r>
      <w:r w:rsidR="00B7576E" w:rsidRPr="00B7576E">
        <w:rPr>
          <w:b/>
          <w:sz w:val="18"/>
          <w:szCs w:val="18"/>
          <w:lang w:val="kk-KZ"/>
        </w:rPr>
        <w:t xml:space="preserve">ШЖҚ "Ақтөбе облысының Денсаулық сақтау басқармасы"ММ" Көпсалалы облыстық ауруханасы " МКК тендер тәсілімен мынадай </w:t>
      </w:r>
      <w:r w:rsidR="00BE0111">
        <w:rPr>
          <w:b/>
          <w:sz w:val="18"/>
          <w:szCs w:val="18"/>
          <w:lang w:val="kk-KZ"/>
        </w:rPr>
        <w:t>медициналық бұйымдарды</w:t>
      </w:r>
      <w:r w:rsidR="00B7576E" w:rsidRPr="00B7576E">
        <w:rPr>
          <w:b/>
          <w:sz w:val="18"/>
          <w:szCs w:val="18"/>
          <w:lang w:val="kk-KZ"/>
        </w:rPr>
        <w:t xml:space="preserve"> сатып алуды өткізу туралы хабарлайды</w:t>
      </w:r>
      <w:r w:rsidR="00F82DE6" w:rsidRPr="00B7576E">
        <w:rPr>
          <w:b/>
          <w:sz w:val="18"/>
          <w:szCs w:val="18"/>
          <w:lang w:val="kk-KZ"/>
        </w:rPr>
        <w:t>: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4"/>
        <w:gridCol w:w="993"/>
        <w:gridCol w:w="1276"/>
        <w:gridCol w:w="4677"/>
        <w:gridCol w:w="708"/>
        <w:gridCol w:w="851"/>
        <w:gridCol w:w="850"/>
        <w:gridCol w:w="1134"/>
        <w:gridCol w:w="993"/>
        <w:gridCol w:w="1275"/>
        <w:gridCol w:w="851"/>
        <w:gridCol w:w="711"/>
        <w:gridCol w:w="1134"/>
      </w:tblGrid>
      <w:tr w:rsidR="005D42E3" w:rsidRPr="003C4686" w:rsidTr="006A7C5C">
        <w:trPr>
          <w:trHeight w:val="894"/>
        </w:trPr>
        <w:tc>
          <w:tcPr>
            <w:tcW w:w="424" w:type="dxa"/>
            <w:shd w:val="clear" w:color="auto" w:fill="auto"/>
            <w:vAlign w:val="center"/>
          </w:tcPr>
          <w:p w:rsidR="00C329BB" w:rsidRPr="00C41E70" w:rsidRDefault="00E0127E" w:rsidP="006A7C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лот</w:t>
            </w:r>
          </w:p>
        </w:tc>
        <w:tc>
          <w:tcPr>
            <w:tcW w:w="993" w:type="dxa"/>
            <w:vAlign w:val="center"/>
          </w:tcPr>
          <w:p w:rsidR="00C329BB" w:rsidRPr="00C41E70" w:rsidRDefault="00C329BB" w:rsidP="006A7C5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Тапсырыс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берушінің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329BB" w:rsidRPr="00C41E70" w:rsidRDefault="00C329BB" w:rsidP="006A7C5C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Тауардың атауы</w:t>
            </w:r>
          </w:p>
        </w:tc>
        <w:tc>
          <w:tcPr>
            <w:tcW w:w="4677" w:type="dxa"/>
          </w:tcPr>
          <w:p w:rsidR="00C329BB" w:rsidRPr="00C41E70" w:rsidRDefault="00C329BB" w:rsidP="006A7C5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329BB" w:rsidRPr="00C41E70" w:rsidRDefault="00C329BB" w:rsidP="006A7C5C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Техникалық сипаттамасы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29BB" w:rsidRPr="00C41E70" w:rsidRDefault="00C329BB" w:rsidP="006A7C5C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9BB" w:rsidRPr="00C41E70" w:rsidRDefault="00C329BB" w:rsidP="006A7C5C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9BB" w:rsidRPr="00C41E70" w:rsidRDefault="00C329BB" w:rsidP="006A7C5C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 xml:space="preserve">Бағасы </w:t>
            </w:r>
          </w:p>
        </w:tc>
        <w:tc>
          <w:tcPr>
            <w:tcW w:w="1134" w:type="dxa"/>
            <w:shd w:val="clear" w:color="auto" w:fill="auto"/>
          </w:tcPr>
          <w:p w:rsidR="00C329BB" w:rsidRPr="00C41E70" w:rsidRDefault="00C329BB" w:rsidP="006A7C5C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sz w:val="16"/>
                <w:szCs w:val="16"/>
                <w:lang w:val="kk-KZ"/>
              </w:rPr>
              <w:t>Тендер тәсілімен мемлекеттік сатып алу үшін бөлінген сома, теңге</w:t>
            </w:r>
          </w:p>
        </w:tc>
        <w:tc>
          <w:tcPr>
            <w:tcW w:w="993" w:type="dxa"/>
            <w:vAlign w:val="center"/>
          </w:tcPr>
          <w:p w:rsidR="00C329BB" w:rsidRPr="00C41E70" w:rsidRDefault="00C329BB" w:rsidP="006A7C5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Жеткізушарттары</w:t>
            </w:r>
            <w:proofErr w:type="spellEnd"/>
            <w:r w:rsidRPr="00C41E70">
              <w:rPr>
                <w:b/>
                <w:sz w:val="16"/>
                <w:szCs w:val="16"/>
              </w:rPr>
              <w:t xml:space="preserve"> (ИНКОТЕРМС 2000 </w:t>
            </w:r>
            <w:proofErr w:type="spellStart"/>
            <w:r w:rsidRPr="00C41E70">
              <w:rPr>
                <w:b/>
                <w:sz w:val="16"/>
                <w:szCs w:val="16"/>
              </w:rPr>
              <w:t>сәйкес</w:t>
            </w:r>
            <w:proofErr w:type="spellEnd"/>
            <w:r w:rsidRPr="00C41E7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:rsidR="00C329BB" w:rsidRPr="00C41E70" w:rsidRDefault="00C329BB" w:rsidP="006A7C5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Тауарларды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жеткізу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мерзі</w:t>
            </w:r>
            <w:proofErr w:type="gramStart"/>
            <w:r w:rsidRPr="00C41E70">
              <w:rPr>
                <w:b/>
                <w:sz w:val="16"/>
                <w:szCs w:val="16"/>
              </w:rPr>
              <w:t>м</w:t>
            </w:r>
            <w:proofErr w:type="gramEnd"/>
            <w:r w:rsidRPr="00C41E70">
              <w:rPr>
                <w:b/>
                <w:sz w:val="16"/>
                <w:szCs w:val="16"/>
              </w:rPr>
              <w:t>і</w:t>
            </w:r>
            <w:proofErr w:type="spellEnd"/>
          </w:p>
        </w:tc>
        <w:tc>
          <w:tcPr>
            <w:tcW w:w="851" w:type="dxa"/>
            <w:vAlign w:val="center"/>
          </w:tcPr>
          <w:p w:rsidR="00C329BB" w:rsidRPr="00C41E70" w:rsidRDefault="00C329BB" w:rsidP="006A7C5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Тауарларды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жеткізу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711" w:type="dxa"/>
            <w:vAlign w:val="center"/>
          </w:tcPr>
          <w:p w:rsidR="00C329BB" w:rsidRPr="00C41E70" w:rsidRDefault="00C329BB" w:rsidP="006A7C5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Аван</w:t>
            </w:r>
            <w:proofErr w:type="spellEnd"/>
            <w:r w:rsidRPr="00C41E70">
              <w:rPr>
                <w:b/>
                <w:sz w:val="16"/>
                <w:szCs w:val="16"/>
                <w:lang w:val="kk-KZ"/>
              </w:rPr>
              <w:t>.</w:t>
            </w:r>
            <w:proofErr w:type="spellStart"/>
            <w:r w:rsidRPr="00C41E70">
              <w:rPr>
                <w:b/>
                <w:sz w:val="16"/>
                <w:szCs w:val="16"/>
              </w:rPr>
              <w:t>өлшемітөлем</w:t>
            </w:r>
            <w:proofErr w:type="spellEnd"/>
            <w:r w:rsidRPr="00C41E70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9BB" w:rsidRPr="00C41E70" w:rsidRDefault="00C329BB" w:rsidP="006A7C5C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Төлем</w:t>
            </w:r>
          </w:p>
        </w:tc>
      </w:tr>
      <w:tr w:rsidR="002072A0" w:rsidRPr="001B799A" w:rsidTr="006A7C5C">
        <w:trPr>
          <w:trHeight w:val="894"/>
        </w:trPr>
        <w:tc>
          <w:tcPr>
            <w:tcW w:w="424" w:type="dxa"/>
            <w:shd w:val="clear" w:color="auto" w:fill="auto"/>
            <w:vAlign w:val="center"/>
          </w:tcPr>
          <w:p w:rsidR="002072A0" w:rsidRDefault="002072A0" w:rsidP="006A7C5C">
            <w:pPr>
              <w:jc w:val="center"/>
              <w:rPr>
                <w:b/>
                <w:bCs/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2072A0" w:rsidRPr="00C41E70" w:rsidRDefault="002072A0" w:rsidP="006A7C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ШЖҚ «КОА» МКК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2A0" w:rsidRPr="00BE0111" w:rsidRDefault="002072A0" w:rsidP="006A7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E0111">
              <w:rPr>
                <w:sz w:val="20"/>
              </w:rPr>
              <w:t>Кровать пациента с электрическим приводом</w:t>
            </w:r>
          </w:p>
          <w:p w:rsidR="002072A0" w:rsidRPr="00BE0111" w:rsidRDefault="002072A0" w:rsidP="006A7C5C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51515"/>
                <w:sz w:val="20"/>
              </w:rPr>
            </w:pPr>
            <w:r w:rsidRPr="00BE0111">
              <w:rPr>
                <w:sz w:val="20"/>
              </w:rPr>
              <w:t>Универсальная</w:t>
            </w:r>
            <w:r w:rsidRPr="00BE0111">
              <w:rPr>
                <w:spacing w:val="1"/>
                <w:sz w:val="20"/>
              </w:rPr>
              <w:t xml:space="preserve"> </w:t>
            </w:r>
            <w:r w:rsidRPr="00BE0111">
              <w:rPr>
                <w:color w:val="181818"/>
                <w:sz w:val="20"/>
              </w:rPr>
              <w:t>функциональная</w:t>
            </w:r>
            <w:r w:rsidRPr="00BE0111">
              <w:rPr>
                <w:color w:val="181818"/>
                <w:spacing w:val="1"/>
                <w:sz w:val="20"/>
              </w:rPr>
              <w:t xml:space="preserve"> </w:t>
            </w:r>
            <w:r w:rsidRPr="00BE0111">
              <w:rPr>
                <w:color w:val="131313"/>
                <w:sz w:val="20"/>
              </w:rPr>
              <w:t>кровать</w:t>
            </w:r>
            <w:r w:rsidRPr="00BE0111">
              <w:rPr>
                <w:color w:val="131313"/>
                <w:spacing w:val="1"/>
                <w:sz w:val="20"/>
              </w:rPr>
              <w:t xml:space="preserve"> </w:t>
            </w:r>
            <w:r w:rsidRPr="00BE0111">
              <w:rPr>
                <w:color w:val="262626"/>
                <w:sz w:val="20"/>
              </w:rPr>
              <w:t>с</w:t>
            </w:r>
            <w:r w:rsidRPr="00BE0111">
              <w:rPr>
                <w:color w:val="262626"/>
                <w:spacing w:val="1"/>
                <w:sz w:val="20"/>
              </w:rPr>
              <w:t xml:space="preserve"> </w:t>
            </w:r>
            <w:r w:rsidRPr="00BE0111">
              <w:rPr>
                <w:color w:val="1A1A1A"/>
                <w:sz w:val="20"/>
              </w:rPr>
              <w:t>электрической</w:t>
            </w:r>
            <w:r w:rsidRPr="00BE0111">
              <w:rPr>
                <w:color w:val="1A1A1A"/>
                <w:spacing w:val="1"/>
                <w:sz w:val="20"/>
              </w:rPr>
              <w:t xml:space="preserve"> </w:t>
            </w:r>
            <w:r w:rsidRPr="00BE0111">
              <w:rPr>
                <w:color w:val="1C1C1C"/>
                <w:sz w:val="20"/>
              </w:rPr>
              <w:t>регулировкой</w:t>
            </w:r>
            <w:r w:rsidRPr="00BE0111">
              <w:rPr>
                <w:color w:val="1C1C1C"/>
                <w:spacing w:val="1"/>
                <w:sz w:val="20"/>
              </w:rPr>
              <w:t xml:space="preserve"> </w:t>
            </w:r>
            <w:r w:rsidRPr="00BE0111">
              <w:rPr>
                <w:color w:val="1C1C1C"/>
                <w:sz w:val="20"/>
              </w:rPr>
              <w:t xml:space="preserve">высоты, </w:t>
            </w:r>
            <w:r w:rsidRPr="00BE0111">
              <w:rPr>
                <w:color w:val="1C1C1C"/>
                <w:spacing w:val="1"/>
                <w:sz w:val="20"/>
              </w:rPr>
              <w:t xml:space="preserve">секций, </w:t>
            </w:r>
            <w:r w:rsidRPr="00BE0111">
              <w:rPr>
                <w:sz w:val="20"/>
              </w:rPr>
              <w:t xml:space="preserve">положений </w:t>
            </w:r>
            <w:proofErr w:type="spellStart"/>
            <w:r w:rsidRPr="00BE0111">
              <w:rPr>
                <w:color w:val="151515"/>
                <w:sz w:val="20"/>
              </w:rPr>
              <w:t>Тренделенбург</w:t>
            </w:r>
            <w:proofErr w:type="spellEnd"/>
            <w:r w:rsidRPr="00BE0111">
              <w:rPr>
                <w:color w:val="151515"/>
                <w:sz w:val="20"/>
              </w:rPr>
              <w:t>/</w:t>
            </w:r>
            <w:proofErr w:type="spellStart"/>
            <w:r w:rsidRPr="00BE0111">
              <w:rPr>
                <w:color w:val="151515"/>
                <w:sz w:val="20"/>
              </w:rPr>
              <w:t>антиТренделенбург</w:t>
            </w:r>
            <w:proofErr w:type="spellEnd"/>
            <w:r w:rsidRPr="00BE0111">
              <w:rPr>
                <w:color w:val="151515"/>
                <w:sz w:val="20"/>
              </w:rPr>
              <w:t>.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51515"/>
                <w:sz w:val="20"/>
              </w:rPr>
            </w:pPr>
            <w:r w:rsidRPr="00BE0111">
              <w:rPr>
                <w:color w:val="151515"/>
                <w:sz w:val="20"/>
              </w:rPr>
              <w:t>Кровать должна иметь систему ножницы.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81818"/>
                <w:spacing w:val="-1"/>
                <w:sz w:val="20"/>
              </w:rPr>
            </w:pPr>
            <w:r w:rsidRPr="00BE0111">
              <w:rPr>
                <w:color w:val="111111"/>
                <w:spacing w:val="-1"/>
                <w:sz w:val="20"/>
              </w:rPr>
              <w:t xml:space="preserve">Кровать должна </w:t>
            </w:r>
            <w:r w:rsidRPr="00BE0111">
              <w:rPr>
                <w:color w:val="1C1C1C"/>
                <w:spacing w:val="-1"/>
                <w:sz w:val="20"/>
              </w:rPr>
              <w:t xml:space="preserve">состоять </w:t>
            </w:r>
            <w:r w:rsidRPr="00BE0111">
              <w:rPr>
                <w:color w:val="242424"/>
                <w:spacing w:val="-1"/>
                <w:sz w:val="20"/>
              </w:rPr>
              <w:t xml:space="preserve">из </w:t>
            </w:r>
            <w:r w:rsidRPr="00BE0111">
              <w:rPr>
                <w:color w:val="1F1F1F"/>
                <w:spacing w:val="-1"/>
                <w:sz w:val="20"/>
              </w:rPr>
              <w:t xml:space="preserve">несущей рамы </w:t>
            </w:r>
            <w:r w:rsidRPr="00BE0111">
              <w:rPr>
                <w:color w:val="2B2B2B"/>
                <w:spacing w:val="-1"/>
                <w:sz w:val="20"/>
              </w:rPr>
              <w:t xml:space="preserve">и </w:t>
            </w:r>
            <w:r w:rsidRPr="00BE0111">
              <w:rPr>
                <w:color w:val="181818"/>
                <w:spacing w:val="-1"/>
                <w:sz w:val="20"/>
              </w:rPr>
              <w:t>ложа.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51515"/>
                <w:sz w:val="20"/>
              </w:rPr>
            </w:pPr>
            <w:r w:rsidRPr="00BE0111">
              <w:rPr>
                <w:color w:val="1F1F1F"/>
                <w:spacing w:val="-1"/>
                <w:sz w:val="20"/>
              </w:rPr>
              <w:t>Количество</w:t>
            </w:r>
            <w:r w:rsidRPr="00BE0111">
              <w:rPr>
                <w:color w:val="1F1F1F"/>
                <w:spacing w:val="-55"/>
                <w:sz w:val="20"/>
              </w:rPr>
              <w:t xml:space="preserve">   </w:t>
            </w:r>
            <w:r w:rsidRPr="00BE0111">
              <w:rPr>
                <w:color w:val="1D1D1D"/>
                <w:sz w:val="20"/>
              </w:rPr>
              <w:t xml:space="preserve"> секций </w:t>
            </w:r>
            <w:r w:rsidRPr="00BE0111">
              <w:rPr>
                <w:color w:val="1A1A1A"/>
                <w:sz w:val="20"/>
              </w:rPr>
              <w:t xml:space="preserve">ложа </w:t>
            </w:r>
            <w:r w:rsidRPr="00BE0111">
              <w:rPr>
                <w:color w:val="2B2B2B"/>
                <w:sz w:val="20"/>
              </w:rPr>
              <w:t xml:space="preserve"> должно быть </w:t>
            </w:r>
            <w:r w:rsidRPr="00BE0111">
              <w:rPr>
                <w:color w:val="212121"/>
                <w:sz w:val="20"/>
              </w:rPr>
              <w:t xml:space="preserve">четыре штуки, </w:t>
            </w:r>
            <w:r w:rsidRPr="00BE0111">
              <w:rPr>
                <w:color w:val="1A1A1A"/>
                <w:sz w:val="20"/>
              </w:rPr>
              <w:t xml:space="preserve">количество </w:t>
            </w:r>
            <w:r w:rsidRPr="00BE0111">
              <w:rPr>
                <w:color w:val="1C1C1C"/>
                <w:sz w:val="20"/>
              </w:rPr>
              <w:t>подвижных</w:t>
            </w:r>
            <w:r w:rsidRPr="00BE0111">
              <w:rPr>
                <w:color w:val="1C1C1C"/>
                <w:spacing w:val="1"/>
                <w:sz w:val="20"/>
              </w:rPr>
              <w:t xml:space="preserve"> </w:t>
            </w:r>
            <w:r w:rsidRPr="00BE0111">
              <w:rPr>
                <w:color w:val="151515"/>
                <w:sz w:val="20"/>
              </w:rPr>
              <w:t>секций  должно быть 3 штуки.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51515"/>
                <w:sz w:val="20"/>
              </w:rPr>
            </w:pPr>
            <w:r w:rsidRPr="00BE0111">
              <w:rPr>
                <w:color w:val="151515"/>
                <w:sz w:val="20"/>
              </w:rPr>
              <w:t>Размер спинной секции – не менее 841 мм и не более 842 мм.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51515"/>
                <w:sz w:val="20"/>
              </w:rPr>
            </w:pPr>
            <w:r w:rsidRPr="00BE0111">
              <w:rPr>
                <w:color w:val="151515"/>
                <w:sz w:val="20"/>
              </w:rPr>
              <w:t xml:space="preserve">Размер спиной секции </w:t>
            </w:r>
            <w:proofErr w:type="gramStart"/>
            <w:r w:rsidRPr="00BE0111">
              <w:rPr>
                <w:color w:val="151515"/>
                <w:sz w:val="20"/>
              </w:rPr>
              <w:t>–н</w:t>
            </w:r>
            <w:proofErr w:type="gramEnd"/>
            <w:r w:rsidRPr="00BE0111">
              <w:rPr>
                <w:color w:val="151515"/>
                <w:sz w:val="20"/>
              </w:rPr>
              <w:t>е менее 841 мм и не более 842 мм.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51515"/>
                <w:sz w:val="20"/>
              </w:rPr>
            </w:pPr>
            <w:r w:rsidRPr="00BE0111">
              <w:rPr>
                <w:color w:val="151515"/>
                <w:sz w:val="20"/>
              </w:rPr>
              <w:t xml:space="preserve">Размер тазовой (неподвижной) секции </w:t>
            </w:r>
            <w:proofErr w:type="gramStart"/>
            <w:r w:rsidRPr="00BE0111">
              <w:rPr>
                <w:color w:val="151515"/>
                <w:sz w:val="20"/>
              </w:rPr>
              <w:t>–н</w:t>
            </w:r>
            <w:proofErr w:type="gramEnd"/>
            <w:r w:rsidRPr="00BE0111">
              <w:rPr>
                <w:color w:val="151515"/>
                <w:sz w:val="20"/>
              </w:rPr>
              <w:t>е более 220 мм и не менее 219 мм.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81818"/>
                <w:sz w:val="20"/>
              </w:rPr>
            </w:pPr>
            <w:r w:rsidRPr="00BE0111">
              <w:rPr>
                <w:color w:val="151515"/>
                <w:sz w:val="20"/>
              </w:rPr>
              <w:t xml:space="preserve">Размер бедренной секции </w:t>
            </w:r>
            <w:proofErr w:type="gramStart"/>
            <w:r w:rsidRPr="00BE0111">
              <w:rPr>
                <w:color w:val="151515"/>
                <w:sz w:val="20"/>
              </w:rPr>
              <w:t>–н</w:t>
            </w:r>
            <w:proofErr w:type="gramEnd"/>
            <w:r w:rsidRPr="00BE0111">
              <w:rPr>
                <w:color w:val="151515"/>
                <w:sz w:val="20"/>
              </w:rPr>
              <w:t>е более 305 мм  и не</w:t>
            </w:r>
            <w:r w:rsidRPr="00BE0111">
              <w:rPr>
                <w:color w:val="181818"/>
                <w:sz w:val="20"/>
              </w:rPr>
              <w:t xml:space="preserve"> менее 304 мм.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81818"/>
                <w:spacing w:val="1"/>
                <w:sz w:val="20"/>
              </w:rPr>
            </w:pPr>
            <w:r w:rsidRPr="00BE0111">
              <w:rPr>
                <w:color w:val="181818"/>
                <w:sz w:val="20"/>
              </w:rPr>
              <w:t>Секции голени (ножной)- не более 533 мм и не менее 532 мм.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D1D1D"/>
                <w:w w:val="95"/>
                <w:sz w:val="20"/>
              </w:rPr>
            </w:pPr>
            <w:r w:rsidRPr="00BE0111">
              <w:rPr>
                <w:rFonts w:eastAsia="Calibri"/>
                <w:color w:val="212121"/>
                <w:sz w:val="20"/>
              </w:rPr>
              <w:t>Рама</w:t>
            </w:r>
            <w:r w:rsidRPr="00BE0111">
              <w:rPr>
                <w:rFonts w:eastAsia="Calibri"/>
                <w:color w:val="212121"/>
                <w:spacing w:val="1"/>
                <w:sz w:val="20"/>
              </w:rPr>
              <w:t xml:space="preserve"> </w:t>
            </w:r>
            <w:r w:rsidRPr="00BE0111">
              <w:rPr>
                <w:rFonts w:eastAsia="Calibri"/>
                <w:color w:val="1C1C1C"/>
                <w:sz w:val="20"/>
              </w:rPr>
              <w:t>кровати</w:t>
            </w:r>
            <w:r w:rsidRPr="00BE0111">
              <w:rPr>
                <w:rFonts w:eastAsia="Calibri"/>
                <w:color w:val="1C1C1C"/>
                <w:spacing w:val="1"/>
                <w:sz w:val="20"/>
              </w:rPr>
              <w:t xml:space="preserve"> должна быть </w:t>
            </w:r>
            <w:r w:rsidRPr="00BE0111">
              <w:rPr>
                <w:rFonts w:eastAsia="Calibri"/>
                <w:color w:val="1F1F1F"/>
                <w:sz w:val="20"/>
              </w:rPr>
              <w:t>установлена</w:t>
            </w:r>
            <w:r w:rsidRPr="00BE0111">
              <w:rPr>
                <w:rFonts w:eastAsia="Calibri"/>
                <w:color w:val="1F1F1F"/>
                <w:spacing w:val="1"/>
                <w:sz w:val="20"/>
              </w:rPr>
              <w:t xml:space="preserve"> </w:t>
            </w:r>
            <w:r w:rsidRPr="00BE0111">
              <w:rPr>
                <w:rFonts w:eastAsia="Calibri"/>
                <w:color w:val="1F1F1F"/>
                <w:sz w:val="20"/>
              </w:rPr>
              <w:t>на</w:t>
            </w:r>
            <w:r w:rsidRPr="00BE0111">
              <w:rPr>
                <w:rFonts w:eastAsia="Calibri"/>
                <w:color w:val="1F1F1F"/>
                <w:spacing w:val="1"/>
                <w:sz w:val="20"/>
              </w:rPr>
              <w:t xml:space="preserve"> </w:t>
            </w:r>
            <w:r w:rsidRPr="00BE0111">
              <w:rPr>
                <w:rFonts w:eastAsia="Calibri"/>
                <w:color w:val="2B2B2B"/>
                <w:sz w:val="20"/>
              </w:rPr>
              <w:t>4</w:t>
            </w:r>
            <w:r w:rsidRPr="00BE0111">
              <w:rPr>
                <w:rFonts w:eastAsia="Calibri"/>
                <w:color w:val="2B2B2B"/>
                <w:spacing w:val="1"/>
                <w:sz w:val="20"/>
              </w:rPr>
              <w:t xml:space="preserve"> </w:t>
            </w:r>
            <w:r w:rsidRPr="00BE0111">
              <w:rPr>
                <w:rFonts w:eastAsia="Calibri"/>
                <w:color w:val="1F1F1F"/>
                <w:sz w:val="20"/>
              </w:rPr>
              <w:t>колеса</w:t>
            </w:r>
            <w:r w:rsidRPr="00BE0111">
              <w:rPr>
                <w:rFonts w:eastAsia="Calibri"/>
                <w:color w:val="1F1F1F"/>
                <w:spacing w:val="1"/>
                <w:sz w:val="20"/>
              </w:rPr>
              <w:t xml:space="preserve"> диаметром не более 125 мм и не менее 124 мм.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rFonts w:eastAsia="Calibri"/>
                <w:color w:val="151515"/>
                <w:sz w:val="20"/>
              </w:rPr>
            </w:pPr>
            <w:r w:rsidRPr="00BE0111">
              <w:rPr>
                <w:rFonts w:eastAsia="Calibri"/>
                <w:color w:val="151515"/>
                <w:sz w:val="20"/>
              </w:rPr>
              <w:t>Одно колесо должно иметь антистатическое покрытие.</w:t>
            </w:r>
            <w:r w:rsidRPr="00BE0111">
              <w:rPr>
                <w:sz w:val="20"/>
              </w:rPr>
              <w:t xml:space="preserve"> </w:t>
            </w:r>
            <w:r w:rsidRPr="00BE0111">
              <w:rPr>
                <w:rFonts w:eastAsia="Calibri"/>
                <w:color w:val="151515"/>
                <w:sz w:val="20"/>
              </w:rPr>
              <w:t>Должна  иметься возможность  доукомплектования пятым колесом.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rFonts w:eastAsia="Calibri"/>
                <w:color w:val="131313"/>
                <w:w w:val="95"/>
                <w:sz w:val="20"/>
              </w:rPr>
            </w:pPr>
            <w:r w:rsidRPr="00BE0111">
              <w:rPr>
                <w:rFonts w:eastAsia="Calibri"/>
                <w:color w:val="151515"/>
                <w:sz w:val="20"/>
              </w:rPr>
              <w:t xml:space="preserve">Расстояние </w:t>
            </w:r>
            <w:r w:rsidRPr="00BE0111">
              <w:rPr>
                <w:rFonts w:eastAsia="Calibri"/>
                <w:color w:val="1A1A1A"/>
                <w:sz w:val="20"/>
              </w:rPr>
              <w:t xml:space="preserve">от </w:t>
            </w:r>
            <w:r w:rsidRPr="00BE0111">
              <w:rPr>
                <w:rFonts w:eastAsia="Calibri"/>
                <w:color w:val="1C1C1C"/>
                <w:sz w:val="20"/>
              </w:rPr>
              <w:t xml:space="preserve">пола </w:t>
            </w:r>
            <w:r w:rsidRPr="00BE0111">
              <w:rPr>
                <w:rFonts w:eastAsia="Calibri"/>
                <w:color w:val="1F1F1F"/>
                <w:sz w:val="20"/>
              </w:rPr>
              <w:t xml:space="preserve">до </w:t>
            </w:r>
            <w:r w:rsidRPr="00BE0111">
              <w:rPr>
                <w:rFonts w:eastAsia="Calibri"/>
                <w:color w:val="1A1A1A"/>
                <w:sz w:val="20"/>
              </w:rPr>
              <w:t xml:space="preserve">рамы </w:t>
            </w:r>
            <w:r w:rsidRPr="00BE0111">
              <w:rPr>
                <w:rFonts w:eastAsia="Calibri"/>
                <w:color w:val="212121"/>
                <w:sz w:val="20"/>
              </w:rPr>
              <w:t xml:space="preserve">кровати </w:t>
            </w:r>
            <w:proofErr w:type="gramStart"/>
            <w:r w:rsidRPr="00BE0111">
              <w:rPr>
                <w:rFonts w:eastAsia="Calibri"/>
                <w:color w:val="2D2D2D"/>
                <w:sz w:val="20"/>
              </w:rPr>
              <w:t>–н</w:t>
            </w:r>
            <w:proofErr w:type="gramEnd"/>
            <w:r w:rsidRPr="00BE0111">
              <w:rPr>
                <w:rFonts w:eastAsia="Calibri"/>
                <w:color w:val="2D2D2D"/>
                <w:sz w:val="20"/>
              </w:rPr>
              <w:t xml:space="preserve">е более 148 мм  и не менее  </w:t>
            </w:r>
            <w:r w:rsidRPr="00BE0111">
              <w:rPr>
                <w:rFonts w:eastAsia="Calibri"/>
                <w:color w:val="282828"/>
                <w:sz w:val="20"/>
              </w:rPr>
              <w:t>147</w:t>
            </w:r>
            <w:r w:rsidRPr="00BE0111">
              <w:rPr>
                <w:rFonts w:eastAsia="Calibri"/>
                <w:color w:val="282828"/>
                <w:spacing w:val="1"/>
                <w:sz w:val="20"/>
              </w:rPr>
              <w:t xml:space="preserve"> </w:t>
            </w:r>
            <w:r w:rsidRPr="00BE0111">
              <w:rPr>
                <w:rFonts w:eastAsia="Calibri"/>
                <w:color w:val="131313"/>
                <w:w w:val="95"/>
                <w:sz w:val="20"/>
              </w:rPr>
              <w:t xml:space="preserve">мм.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rFonts w:eastAsia="Calibri"/>
                <w:color w:val="1C1C1C"/>
                <w:sz w:val="20"/>
              </w:rPr>
            </w:pPr>
            <w:r w:rsidRPr="00BE0111">
              <w:rPr>
                <w:rFonts w:eastAsia="Calibri"/>
                <w:color w:val="1C1C1C"/>
                <w:sz w:val="20"/>
              </w:rPr>
              <w:t>Толщина стенки для коробчатого профиля: не менее и не более 1,2-2,0 мм</w:t>
            </w:r>
            <w:proofErr w:type="gramStart"/>
            <w:r w:rsidRPr="00BE0111">
              <w:rPr>
                <w:rFonts w:eastAsia="Calibri"/>
                <w:color w:val="1C1C1C"/>
                <w:sz w:val="20"/>
              </w:rPr>
              <w:t xml:space="preserve"> ,</w:t>
            </w:r>
            <w:proofErr w:type="gramEnd"/>
            <w:r w:rsidRPr="00BE0111">
              <w:rPr>
                <w:rFonts w:eastAsia="Calibri"/>
                <w:color w:val="1C1C1C"/>
                <w:sz w:val="20"/>
              </w:rPr>
              <w:t xml:space="preserve"> для трубы не менее и не более 1,2-2,00 мм.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  <w:r w:rsidRPr="00BE0111">
              <w:rPr>
                <w:rFonts w:eastAsia="Calibri"/>
                <w:color w:val="1C1C1C"/>
                <w:sz w:val="20"/>
              </w:rPr>
              <w:t xml:space="preserve">Для предотвращения деформации рамы кровати во время    транспортировки    в    углах   кровати должны быть  расположены четыре боковых </w:t>
            </w:r>
            <w:r w:rsidRPr="00BE0111">
              <w:rPr>
                <w:rFonts w:eastAsia="Calibri"/>
                <w:color w:val="1C1C1C"/>
                <w:sz w:val="20"/>
              </w:rPr>
              <w:lastRenderedPageBreak/>
              <w:t xml:space="preserve">ограждения, с кнопками для открытия и закрытия барьеров, должны быть съемные панели для головы и ног, кровать система ножницы.  Кровать  должна быть  оборудована  </w:t>
            </w:r>
            <w:proofErr w:type="gramStart"/>
            <w:r w:rsidRPr="00BE0111">
              <w:rPr>
                <w:rFonts w:eastAsia="Calibri"/>
                <w:color w:val="1C1C1C"/>
                <w:sz w:val="20"/>
              </w:rPr>
              <w:t>легко съёмными</w:t>
            </w:r>
            <w:proofErr w:type="gramEnd"/>
            <w:r w:rsidRPr="00BE0111">
              <w:rPr>
                <w:rFonts w:eastAsia="Calibri"/>
                <w:color w:val="1C1C1C"/>
                <w:sz w:val="20"/>
              </w:rPr>
              <w:t xml:space="preserve"> головными и ножными торцами.  </w:t>
            </w:r>
            <w:r w:rsidRPr="00BE0111">
              <w:rPr>
                <w:rFonts w:eastAsia="Calibri"/>
                <w:sz w:val="20"/>
              </w:rPr>
              <w:t>Должны быть раздельные боковые ограждения.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rFonts w:eastAsia="Calibri"/>
                <w:color w:val="1C1C1C"/>
                <w:sz w:val="20"/>
              </w:rPr>
            </w:pPr>
            <w:r w:rsidRPr="00BE0111">
              <w:rPr>
                <w:rFonts w:eastAsia="Calibri"/>
                <w:sz w:val="20"/>
              </w:rPr>
              <w:t>Высота</w:t>
            </w:r>
            <w:r w:rsidRPr="00BE0111">
              <w:rPr>
                <w:rFonts w:eastAsia="Calibri"/>
                <w:color w:val="1C1C1C"/>
                <w:sz w:val="20"/>
              </w:rPr>
              <w:t xml:space="preserve"> боковых ограждени</w:t>
            </w:r>
            <w:proofErr w:type="gramStart"/>
            <w:r w:rsidRPr="00BE0111">
              <w:rPr>
                <w:rFonts w:eastAsia="Calibri"/>
                <w:color w:val="1C1C1C"/>
                <w:sz w:val="20"/>
              </w:rPr>
              <w:t>й-</w:t>
            </w:r>
            <w:proofErr w:type="gramEnd"/>
            <w:r w:rsidRPr="00BE0111">
              <w:rPr>
                <w:rFonts w:eastAsia="Calibri"/>
                <w:color w:val="1C1C1C"/>
                <w:sz w:val="20"/>
              </w:rPr>
              <w:t xml:space="preserve"> не менее 349 мм и не более 350мм,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rFonts w:eastAsia="Calibri"/>
                <w:color w:val="1C1C1C"/>
                <w:sz w:val="20"/>
              </w:rPr>
            </w:pPr>
            <w:r w:rsidRPr="00BE0111">
              <w:rPr>
                <w:rFonts w:eastAsia="Calibri"/>
                <w:color w:val="1C1C1C"/>
                <w:sz w:val="20"/>
              </w:rPr>
              <w:t xml:space="preserve">длина боковых    ограждений расположенных вдоль спинной секции </w:t>
            </w:r>
            <w:proofErr w:type="gramStart"/>
            <w:r w:rsidRPr="00BE0111">
              <w:rPr>
                <w:rFonts w:eastAsia="Calibri"/>
                <w:color w:val="1C1C1C"/>
                <w:sz w:val="20"/>
              </w:rPr>
              <w:t>–н</w:t>
            </w:r>
            <w:proofErr w:type="gramEnd"/>
            <w:r w:rsidRPr="00BE0111">
              <w:rPr>
                <w:rFonts w:eastAsia="Calibri"/>
                <w:color w:val="1C1C1C"/>
                <w:sz w:val="20"/>
              </w:rPr>
              <w:t xml:space="preserve">е менее 112 мм и не более  1013 мм,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rFonts w:eastAsia="Calibri"/>
                <w:color w:val="1C1C1C"/>
                <w:sz w:val="20"/>
              </w:rPr>
            </w:pPr>
            <w:r w:rsidRPr="00BE0111">
              <w:rPr>
                <w:rFonts w:eastAsia="Calibri"/>
                <w:color w:val="1C1C1C"/>
                <w:sz w:val="20"/>
              </w:rPr>
              <w:t xml:space="preserve">длина боковых ограждений расположенных вдоль бедренной и ножной секции  кровати – не менее 987 мм и не более 988 мм.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rFonts w:eastAsia="Calibri"/>
                <w:color w:val="1C1C1C"/>
                <w:sz w:val="20"/>
              </w:rPr>
            </w:pPr>
            <w:r w:rsidRPr="00BE0111">
              <w:rPr>
                <w:rFonts w:eastAsia="Calibri"/>
                <w:color w:val="1C1C1C"/>
                <w:sz w:val="20"/>
              </w:rPr>
              <w:t xml:space="preserve">Высота отверстий в боковых ограждениях кровати – не менее 95 мм и не более 96 мм.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rFonts w:eastAsia="Calibri"/>
                <w:color w:val="1C1C1C"/>
                <w:sz w:val="20"/>
              </w:rPr>
            </w:pPr>
            <w:r w:rsidRPr="00BE0111">
              <w:rPr>
                <w:rFonts w:eastAsia="Calibri"/>
                <w:color w:val="1C1C1C"/>
                <w:sz w:val="20"/>
              </w:rPr>
              <w:t>Боковые ограждения кровати должны быть оснащены специальной запатентованной системой креплений     обеспечивающей надежность в эксплуатации</w:t>
            </w:r>
            <w:r w:rsidRPr="00BE0111">
              <w:rPr>
                <w:rFonts w:eastAsia="Calibri"/>
                <w:color w:val="1C1C1C"/>
                <w:sz w:val="20"/>
              </w:rPr>
              <w:tab/>
              <w:t xml:space="preserve">и способны выдерживать нагрузку на каждое боковое ограждение </w:t>
            </w:r>
            <w:proofErr w:type="gramStart"/>
            <w:r w:rsidRPr="00BE0111">
              <w:rPr>
                <w:rFonts w:eastAsia="Calibri"/>
                <w:color w:val="1C1C1C"/>
                <w:sz w:val="20"/>
              </w:rPr>
              <w:t>–н</w:t>
            </w:r>
            <w:proofErr w:type="gramEnd"/>
            <w:r w:rsidRPr="00BE0111">
              <w:rPr>
                <w:rFonts w:eastAsia="Calibri"/>
                <w:color w:val="1C1C1C"/>
                <w:sz w:val="20"/>
              </w:rPr>
              <w:t xml:space="preserve">е менее 199 кг и не более 200 кг.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rFonts w:eastAsia="Calibri"/>
                <w:color w:val="1C1C1C"/>
                <w:sz w:val="20"/>
              </w:rPr>
            </w:pPr>
            <w:r w:rsidRPr="00BE0111">
              <w:rPr>
                <w:rFonts w:eastAsia="Calibri"/>
                <w:color w:val="1C1C1C"/>
                <w:sz w:val="20"/>
              </w:rPr>
              <w:t xml:space="preserve">Раздельные боковые ограждения должны закрывать ложе кровать, тем самым  </w:t>
            </w:r>
            <w:proofErr w:type="spellStart"/>
            <w:r w:rsidRPr="00BE0111">
              <w:rPr>
                <w:rFonts w:eastAsia="Calibri"/>
                <w:color w:val="1C1C1C"/>
                <w:sz w:val="20"/>
              </w:rPr>
              <w:t>минимизируя</w:t>
            </w:r>
            <w:proofErr w:type="spellEnd"/>
            <w:r w:rsidRPr="00BE0111">
              <w:rPr>
                <w:rFonts w:eastAsia="Calibri"/>
                <w:color w:val="1C1C1C"/>
                <w:sz w:val="20"/>
              </w:rPr>
              <w:t xml:space="preserve">  риск выпадения пациента.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rFonts w:eastAsia="Calibri"/>
                <w:color w:val="1C1C1C"/>
                <w:sz w:val="20"/>
              </w:rPr>
            </w:pPr>
            <w:r w:rsidRPr="00BE0111">
              <w:rPr>
                <w:rFonts w:eastAsia="Calibri"/>
                <w:color w:val="1C1C1C"/>
                <w:sz w:val="20"/>
              </w:rPr>
              <w:t xml:space="preserve">Расстояние    между раздельными боковыми ограждениями – не менее 44 мм и не более 45 мм.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31313"/>
                <w:w w:val="95"/>
                <w:sz w:val="20"/>
              </w:rPr>
            </w:pPr>
            <w:r w:rsidRPr="00BE0111">
              <w:rPr>
                <w:color w:val="212121"/>
                <w:sz w:val="20"/>
              </w:rPr>
              <w:t>В</w:t>
            </w:r>
            <w:r w:rsidRPr="00BE0111">
              <w:rPr>
                <w:color w:val="212121"/>
                <w:spacing w:val="54"/>
                <w:sz w:val="20"/>
              </w:rPr>
              <w:t xml:space="preserve"> </w:t>
            </w:r>
            <w:r w:rsidRPr="00BE0111">
              <w:rPr>
                <w:color w:val="181818"/>
                <w:sz w:val="20"/>
              </w:rPr>
              <w:t>боковые</w:t>
            </w:r>
            <w:r w:rsidRPr="00BE0111">
              <w:rPr>
                <w:color w:val="181818"/>
                <w:spacing w:val="6"/>
                <w:sz w:val="20"/>
              </w:rPr>
              <w:t xml:space="preserve"> </w:t>
            </w:r>
            <w:r w:rsidRPr="00BE0111">
              <w:rPr>
                <w:sz w:val="20"/>
              </w:rPr>
              <w:t>ограждения</w:t>
            </w:r>
            <w:r w:rsidRPr="00BE0111">
              <w:rPr>
                <w:spacing w:val="17"/>
                <w:sz w:val="20"/>
              </w:rPr>
              <w:t xml:space="preserve"> должны быть </w:t>
            </w:r>
            <w:r w:rsidRPr="00BE0111">
              <w:rPr>
                <w:color w:val="212121"/>
                <w:sz w:val="20"/>
              </w:rPr>
              <w:t>встроены</w:t>
            </w:r>
            <w:r w:rsidRPr="00BE0111">
              <w:rPr>
                <w:color w:val="212121"/>
                <w:spacing w:val="7"/>
                <w:sz w:val="20"/>
              </w:rPr>
              <w:t xml:space="preserve"> </w:t>
            </w:r>
            <w:r w:rsidRPr="00BE0111">
              <w:rPr>
                <w:color w:val="1F1F1F"/>
                <w:sz w:val="20"/>
              </w:rPr>
              <w:t>индикаторы</w:t>
            </w:r>
            <w:r w:rsidRPr="00BE0111">
              <w:rPr>
                <w:color w:val="1F1F1F"/>
                <w:spacing w:val="7"/>
                <w:sz w:val="20"/>
              </w:rPr>
              <w:t xml:space="preserve"> </w:t>
            </w:r>
            <w:r w:rsidRPr="00BE0111">
              <w:rPr>
                <w:color w:val="1A1A1A"/>
                <w:sz w:val="20"/>
              </w:rPr>
              <w:t>угла</w:t>
            </w:r>
            <w:r w:rsidRPr="00BE0111">
              <w:rPr>
                <w:color w:val="1A1A1A"/>
                <w:spacing w:val="1"/>
                <w:sz w:val="20"/>
              </w:rPr>
              <w:t xml:space="preserve"> </w:t>
            </w:r>
            <w:r w:rsidRPr="00BE0111">
              <w:rPr>
                <w:color w:val="1A1A1A"/>
                <w:sz w:val="20"/>
              </w:rPr>
              <w:t>наклона секции спины</w:t>
            </w:r>
            <w:r w:rsidRPr="00BE0111">
              <w:rPr>
                <w:color w:val="1A1A1A"/>
                <w:w w:val="95"/>
                <w:sz w:val="20"/>
              </w:rPr>
              <w:t xml:space="preserve"> и</w:t>
            </w:r>
            <w:r w:rsidRPr="00BE0111">
              <w:rPr>
                <w:color w:val="151515"/>
                <w:sz w:val="20"/>
              </w:rPr>
              <w:t xml:space="preserve"> положения </w:t>
            </w:r>
            <w:proofErr w:type="spellStart"/>
            <w:r w:rsidRPr="00BE0111">
              <w:rPr>
                <w:color w:val="151515"/>
                <w:sz w:val="20"/>
              </w:rPr>
              <w:t>Тренделенбург</w:t>
            </w:r>
            <w:proofErr w:type="spellEnd"/>
            <w:r w:rsidRPr="00BE0111">
              <w:rPr>
                <w:color w:val="151515"/>
                <w:sz w:val="20"/>
              </w:rPr>
              <w:t>/</w:t>
            </w:r>
            <w:proofErr w:type="spellStart"/>
            <w:r w:rsidRPr="00BE0111">
              <w:rPr>
                <w:color w:val="151515"/>
                <w:sz w:val="20"/>
              </w:rPr>
              <w:t>антиТренделенбург</w:t>
            </w:r>
            <w:proofErr w:type="spellEnd"/>
            <w:r w:rsidRPr="00BE0111">
              <w:rPr>
                <w:color w:val="1A1A1A"/>
                <w:w w:val="95"/>
                <w:sz w:val="20"/>
              </w:rPr>
              <w:t>.</w:t>
            </w:r>
            <w:r w:rsidRPr="00BE0111">
              <w:rPr>
                <w:color w:val="131313"/>
                <w:w w:val="95"/>
                <w:sz w:val="20"/>
              </w:rPr>
              <w:tab/>
            </w:r>
            <w:r w:rsidRPr="00BE0111">
              <w:rPr>
                <w:color w:val="131313"/>
                <w:w w:val="95"/>
                <w:sz w:val="20"/>
              </w:rPr>
              <w:tab/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  <w:r w:rsidRPr="00BE0111">
              <w:rPr>
                <w:color w:val="1A1A1A"/>
                <w:sz w:val="20"/>
              </w:rPr>
              <w:t>Кровать должна имеет: электрическую регулировку высоты с минимальным нижним положением не менее 369 мм и не более  370 мм и верхние положением – не менее 799 мм и не более 800мм,</w:t>
            </w:r>
            <w:r w:rsidRPr="00BE0111">
              <w:rPr>
                <w:color w:val="1A1A1A"/>
                <w:sz w:val="20"/>
              </w:rPr>
              <w:tab/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  <w:r w:rsidRPr="00BE0111">
              <w:rPr>
                <w:color w:val="1A1A1A"/>
                <w:sz w:val="20"/>
              </w:rPr>
              <w:t>электрическую регулировку продольных наклонов   ложа  кровати   (</w:t>
            </w:r>
            <w:proofErr w:type="spellStart"/>
            <w:r w:rsidRPr="00BE0111">
              <w:rPr>
                <w:color w:val="1A1A1A"/>
                <w:sz w:val="20"/>
              </w:rPr>
              <w:t>Тренделенбург</w:t>
            </w:r>
            <w:proofErr w:type="spellEnd"/>
            <w:r w:rsidRPr="00BE0111">
              <w:rPr>
                <w:color w:val="1A1A1A"/>
                <w:sz w:val="20"/>
              </w:rPr>
              <w:t xml:space="preserve"> и </w:t>
            </w:r>
            <w:proofErr w:type="spellStart"/>
            <w:r w:rsidRPr="00BE0111">
              <w:rPr>
                <w:color w:val="1A1A1A"/>
                <w:sz w:val="20"/>
              </w:rPr>
              <w:t>аитиТренделенбург</w:t>
            </w:r>
            <w:proofErr w:type="spellEnd"/>
            <w:proofErr w:type="gramStart"/>
            <w:r w:rsidRPr="00BE0111">
              <w:rPr>
                <w:color w:val="1A1A1A"/>
                <w:sz w:val="20"/>
              </w:rPr>
              <w:t>)-</w:t>
            </w:r>
            <w:proofErr w:type="gramEnd"/>
            <w:r w:rsidRPr="00BE0111">
              <w:rPr>
                <w:color w:val="1A1A1A"/>
                <w:sz w:val="20"/>
              </w:rPr>
              <w:t xml:space="preserve">не менее 15,5/15 и не более  16,5°/16°,  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  <w:r w:rsidRPr="00BE0111">
              <w:rPr>
                <w:color w:val="1A1A1A"/>
                <w:sz w:val="20"/>
              </w:rPr>
              <w:t xml:space="preserve">электрическую   регулировку   секции   спины   в   </w:t>
            </w:r>
            <w:r w:rsidRPr="00BE0111">
              <w:rPr>
                <w:color w:val="1A1A1A"/>
                <w:sz w:val="20"/>
              </w:rPr>
              <w:lastRenderedPageBreak/>
              <w:t xml:space="preserve">пределах  не менее и не более  0_ 60°,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  <w:r w:rsidRPr="00BE0111">
              <w:rPr>
                <w:color w:val="1A1A1A"/>
                <w:sz w:val="20"/>
              </w:rPr>
              <w:t xml:space="preserve">электрическую регулировку бедренной секции в пределах не менее и не более 0° - 30°,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  <w:r w:rsidRPr="00BE0111">
              <w:rPr>
                <w:color w:val="1A1A1A"/>
                <w:sz w:val="20"/>
              </w:rPr>
              <w:t xml:space="preserve">механическую регулировку секции голени в пределах не менее и не более 0° - 15°.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  <w:r w:rsidRPr="00BE0111">
              <w:rPr>
                <w:color w:val="1A1A1A"/>
                <w:sz w:val="20"/>
              </w:rPr>
              <w:t>Секция голени должна быть  оснащена ступенчатым механизмом, который при необходимости должен  обеспечивать   движение   секции   вверх.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  <w:r w:rsidRPr="00BE0111">
              <w:rPr>
                <w:color w:val="1A1A1A"/>
                <w:sz w:val="20"/>
              </w:rPr>
              <w:t xml:space="preserve"> Конструктивная особенность ложа кровати должна    обеспечивать функцию продольного    смещения основания тазобедренной секции и секции спины с одновременным     подъёмом     для     уменьшения компрессии в абдоминальной области с суммарным смещением не менее 99 мм и не более 100мм.  Должна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  <w:r w:rsidRPr="00BE0111">
              <w:rPr>
                <w:color w:val="1A1A1A"/>
                <w:sz w:val="20"/>
              </w:rPr>
              <w:t xml:space="preserve"> иметься  возможность  доукомплектования  кровати  спинной  рентген прозрачной секцией,  изготовленной из  </w:t>
            </w:r>
            <w:r w:rsidRPr="00BE0111">
              <w:rPr>
                <w:color w:val="1A1A1A"/>
                <w:sz w:val="20"/>
                <w:lang w:val="en-US"/>
              </w:rPr>
              <w:t>HPL</w:t>
            </w:r>
            <w:r w:rsidRPr="00BE0111">
              <w:rPr>
                <w:color w:val="1A1A1A"/>
                <w:sz w:val="20"/>
              </w:rPr>
              <w:t xml:space="preserve">  </w:t>
            </w:r>
            <w:proofErr w:type="spellStart"/>
            <w:r w:rsidRPr="00BE0111">
              <w:rPr>
                <w:color w:val="1A1A1A"/>
                <w:sz w:val="20"/>
              </w:rPr>
              <w:t>ламината</w:t>
            </w:r>
            <w:proofErr w:type="spellEnd"/>
            <w:r w:rsidRPr="00BE0111">
              <w:rPr>
                <w:color w:val="1A1A1A"/>
                <w:sz w:val="20"/>
              </w:rPr>
              <w:t xml:space="preserve">, позволяющая не тревожить пациента  для получения рентгеновских снимков. Спинки  должны быть установлены на кровать путем опускания двух металлических штифтов, должны быть расположены на нижней кромке спинок, в специальные отверстия на раме кровати  должны быть фиксированы  специальным запирающим механизмом. 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  <w:r w:rsidRPr="00BE0111">
              <w:rPr>
                <w:color w:val="1A1A1A"/>
                <w:sz w:val="20"/>
              </w:rPr>
              <w:t xml:space="preserve">Конструкция  торцов кровати должна быть лёгкосъёмная, обеспечивающая максимально быстрый доступ медицинского персонала к пациенту со всех сторон, при снятии торцов на каркасе кровати не остается никаких моментов торцов.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  <w:r w:rsidRPr="00BE0111">
              <w:rPr>
                <w:color w:val="1A1A1A"/>
                <w:sz w:val="20"/>
              </w:rPr>
              <w:t xml:space="preserve">Передний и ножной переключатели должны иметь механизм блокировки.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  <w:r w:rsidRPr="00BE0111">
              <w:rPr>
                <w:color w:val="1A1A1A"/>
                <w:sz w:val="20"/>
              </w:rPr>
              <w:t xml:space="preserve">Ширина торцов не менее 849 мм и не более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  <w:r w:rsidRPr="00BE0111">
              <w:rPr>
                <w:color w:val="1A1A1A"/>
                <w:sz w:val="20"/>
              </w:rPr>
              <w:t xml:space="preserve">- 850 мм, высота – не менее 436 мм и не более 437 мм, толщина – не менее 39 мм и не более 40 мм.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  <w:r w:rsidRPr="00BE0111">
              <w:rPr>
                <w:color w:val="1A1A1A"/>
                <w:sz w:val="20"/>
              </w:rPr>
              <w:t xml:space="preserve">В углах головной и ножной секции ложа кровати должны быть расположены установочные отверстия  для дополнительных аксессуаров. </w:t>
            </w:r>
          </w:p>
          <w:p w:rsidR="002072A0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color w:val="1A1A1A"/>
                <w:sz w:val="20"/>
              </w:rPr>
            </w:pPr>
            <w:r w:rsidRPr="00BE0111">
              <w:rPr>
                <w:color w:val="1A1A1A"/>
                <w:sz w:val="20"/>
              </w:rPr>
              <w:lastRenderedPageBreak/>
              <w:t>Кровать должна позволять  проводить       механическую      сердечно-легочную</w:t>
            </w:r>
          </w:p>
          <w:p w:rsidR="002072A0" w:rsidRPr="00BE0111" w:rsidRDefault="002072A0" w:rsidP="006A7C5C">
            <w:pPr>
              <w:rPr>
                <w:color w:val="232323"/>
                <w:sz w:val="20"/>
              </w:rPr>
            </w:pPr>
            <w:r w:rsidRPr="00BE0111">
              <w:rPr>
                <w:color w:val="1A1A1A"/>
                <w:sz w:val="20"/>
              </w:rPr>
              <w:t>реанимацию  с персоналом с односторонней</w:t>
            </w:r>
            <w:r w:rsidRPr="00BE0111">
              <w:rPr>
                <w:color w:val="232323"/>
                <w:sz w:val="20"/>
              </w:rPr>
              <w:t xml:space="preserve"> рукояткой двигателем, двусторонняя рукоятка с двигателем, расположенных  под спинной секцией кровати, ручки рычагов красного цвета для простоты распознавания медицинским персоналом.  Максимальная допустимая рабочая нагрузка на кровать – не менее 274 кг и не более 275 кг.  Цветовая гамма кровати должна быть белой,  с наличием голубых ставок.</w:t>
            </w:r>
          </w:p>
          <w:p w:rsidR="002072A0" w:rsidRPr="00BE0111" w:rsidRDefault="002072A0" w:rsidP="006A7C5C">
            <w:pPr>
              <w:rPr>
                <w:color w:val="232323"/>
                <w:sz w:val="20"/>
              </w:rPr>
            </w:pPr>
            <w:r w:rsidRPr="00BE0111">
              <w:rPr>
                <w:color w:val="232323"/>
                <w:sz w:val="20"/>
              </w:rPr>
              <w:t xml:space="preserve">Размер ни жней части рамы: не менее и не более 50 *50*3 мм, 50*30*3 мм </w:t>
            </w:r>
          </w:p>
          <w:p w:rsidR="002072A0" w:rsidRPr="00BE0111" w:rsidRDefault="002072A0" w:rsidP="006A7C5C">
            <w:pPr>
              <w:rPr>
                <w:color w:val="232323"/>
                <w:sz w:val="20"/>
              </w:rPr>
            </w:pPr>
            <w:r w:rsidRPr="00BE0111">
              <w:rPr>
                <w:color w:val="232323"/>
                <w:sz w:val="20"/>
              </w:rPr>
              <w:t>Размер верхней части рамы: не менее и не более 50*30*2 мм , 30*20*2 мм, 60*40*3 мм</w:t>
            </w:r>
          </w:p>
          <w:p w:rsidR="002072A0" w:rsidRPr="00BE0111" w:rsidRDefault="002072A0" w:rsidP="006A7C5C">
            <w:pPr>
              <w:rPr>
                <w:color w:val="232323"/>
                <w:sz w:val="20"/>
              </w:rPr>
            </w:pPr>
            <w:r w:rsidRPr="00BE0111">
              <w:rPr>
                <w:color w:val="232323"/>
                <w:sz w:val="20"/>
              </w:rPr>
              <w:t>Наружные габариты  (по бамперам) – не менее 2259 и не более 2260 х не менее 1024 и не более 1025 мм.</w:t>
            </w:r>
            <w:proofErr w:type="gramStart"/>
            <w:r w:rsidRPr="00BE0111">
              <w:rPr>
                <w:color w:val="232323"/>
                <w:sz w:val="20"/>
              </w:rPr>
              <w:t xml:space="preserve"> .</w:t>
            </w:r>
            <w:proofErr w:type="gramEnd"/>
            <w:r w:rsidRPr="00BE0111">
              <w:rPr>
                <w:color w:val="232323"/>
                <w:sz w:val="20"/>
              </w:rPr>
              <w:t xml:space="preserve">  Должна  иметься  возможность  дооснащения  кровати    комплектом </w:t>
            </w:r>
            <w:proofErr w:type="spellStart"/>
            <w:r w:rsidRPr="00BE0111">
              <w:rPr>
                <w:sz w:val="20"/>
              </w:rPr>
              <w:t>противопролежневых</w:t>
            </w:r>
            <w:proofErr w:type="spellEnd"/>
            <w:r w:rsidRPr="00BE0111">
              <w:rPr>
                <w:sz w:val="20"/>
              </w:rPr>
              <w:t xml:space="preserve">  протекторов- должны быть  предназначены для профилактики развития пролежней и компрессионно-ишемических невропатий в </w:t>
            </w:r>
            <w:proofErr w:type="spellStart"/>
            <w:r w:rsidRPr="00BE0111">
              <w:rPr>
                <w:sz w:val="20"/>
              </w:rPr>
              <w:t>периоперационном</w:t>
            </w:r>
            <w:proofErr w:type="spellEnd"/>
            <w:r w:rsidRPr="00BE0111">
              <w:rPr>
                <w:sz w:val="20"/>
              </w:rPr>
              <w:t xml:space="preserve"> периоде. Должны применяться  в качестве </w:t>
            </w:r>
            <w:proofErr w:type="spellStart"/>
            <w:r w:rsidRPr="00BE0111">
              <w:rPr>
                <w:sz w:val="20"/>
              </w:rPr>
              <w:t>гелевых</w:t>
            </w:r>
            <w:proofErr w:type="spellEnd"/>
            <w:r w:rsidRPr="00BE0111">
              <w:rPr>
                <w:sz w:val="20"/>
              </w:rPr>
              <w:t xml:space="preserve">  подкладок и подушек под те части тела, которые наиболее подвержены образованию пролежней. А также должны использоваться  использования  при  позиционировании пациента на операционном столе в самых различных положениях. При такой укладке  должна обеспечиваться защита мест костных выступов от ишемических повреждений и сдавлений нервных стволов, устойчивость положения пациента, а так же его комфорт.  </w:t>
            </w:r>
          </w:p>
          <w:p w:rsidR="002072A0" w:rsidRPr="00BE0111" w:rsidRDefault="002072A0" w:rsidP="006A7C5C">
            <w:pPr>
              <w:rPr>
                <w:sz w:val="20"/>
              </w:rPr>
            </w:pPr>
            <w:r w:rsidRPr="00BE0111">
              <w:rPr>
                <w:sz w:val="20"/>
              </w:rPr>
              <w:t>При легком сдвиге силиконового геля должно  происходить снижение давления, что  должно приводить к распределению силы давления по поверхности изделия.</w:t>
            </w:r>
          </w:p>
          <w:p w:rsidR="002072A0" w:rsidRPr="00BE0111" w:rsidRDefault="002072A0" w:rsidP="006A7C5C">
            <w:pPr>
              <w:rPr>
                <w:sz w:val="20"/>
              </w:rPr>
            </w:pPr>
            <w:r w:rsidRPr="00BE0111">
              <w:rPr>
                <w:sz w:val="20"/>
              </w:rPr>
              <w:t>Гель из медицинского силикона,  должен  являться  основным компонентом изделий, мягче, чем кожа и подлежащие ткани, благодаря чему</w:t>
            </w:r>
            <w:proofErr w:type="gramStart"/>
            <w:r w:rsidRPr="00BE0111">
              <w:rPr>
                <w:sz w:val="20"/>
              </w:rPr>
              <w:t xml:space="preserve">  ,</w:t>
            </w:r>
            <w:proofErr w:type="gramEnd"/>
            <w:r w:rsidRPr="00BE0111">
              <w:rPr>
                <w:sz w:val="20"/>
              </w:rPr>
              <w:t xml:space="preserve"> при </w:t>
            </w:r>
            <w:r w:rsidRPr="00BE0111">
              <w:rPr>
                <w:sz w:val="20"/>
              </w:rPr>
              <w:lastRenderedPageBreak/>
              <w:t xml:space="preserve">использовании протекторов происходит наиболее эффективное перераспределение давления. Силиконовый гель  особого состава не  должен разрушаться  под действием ультрафиолета, выдерживать большие нагрузки давлением, перепады температур, обладать  длительным сроком службы. Наружная оболочка </w:t>
            </w:r>
            <w:proofErr w:type="gramStart"/>
            <w:r w:rsidRPr="00BE0111">
              <w:rPr>
                <w:sz w:val="20"/>
              </w:rPr>
              <w:t>должна</w:t>
            </w:r>
            <w:proofErr w:type="gramEnd"/>
            <w:r w:rsidRPr="00BE0111">
              <w:rPr>
                <w:sz w:val="20"/>
              </w:rPr>
              <w:t xml:space="preserve">  устойчива к обработке любыми </w:t>
            </w:r>
            <w:proofErr w:type="spellStart"/>
            <w:r w:rsidRPr="00BE0111">
              <w:rPr>
                <w:sz w:val="20"/>
              </w:rPr>
              <w:t>дезинфектантами</w:t>
            </w:r>
            <w:proofErr w:type="spellEnd"/>
            <w:r w:rsidRPr="00BE0111">
              <w:rPr>
                <w:sz w:val="20"/>
              </w:rPr>
              <w:t>.  При повреждениях оболочки гель не  должен вытекать наружу.</w:t>
            </w:r>
          </w:p>
          <w:p w:rsidR="002072A0" w:rsidRPr="00BE0111" w:rsidRDefault="002072A0" w:rsidP="006A7C5C">
            <w:pPr>
              <w:rPr>
                <w:sz w:val="20"/>
              </w:rPr>
            </w:pPr>
            <w:r w:rsidRPr="00BE0111">
              <w:rPr>
                <w:sz w:val="20"/>
              </w:rPr>
              <w:t>Протекторы не  должны создавать  помех при магнитно-резонансной томографии и рентгенологических исследованиях, не должны  проводить  электричество.</w:t>
            </w:r>
          </w:p>
          <w:p w:rsidR="002072A0" w:rsidRPr="00BE0111" w:rsidRDefault="002072A0" w:rsidP="006A7C5C">
            <w:pPr>
              <w:rPr>
                <w:sz w:val="20"/>
              </w:rPr>
            </w:pPr>
            <w:r w:rsidRPr="00BE0111">
              <w:rPr>
                <w:sz w:val="20"/>
              </w:rPr>
              <w:t>Должны представлять собой мягкое, удобное и прочное кольц</w:t>
            </w:r>
            <w:proofErr w:type="gramStart"/>
            <w:r w:rsidRPr="00BE0111">
              <w:rPr>
                <w:sz w:val="20"/>
              </w:rPr>
              <w:t>о(</w:t>
            </w:r>
            <w:proofErr w:type="gramEnd"/>
            <w:r w:rsidRPr="00BE0111">
              <w:rPr>
                <w:sz w:val="20"/>
              </w:rPr>
              <w:t>полуовал),  поддерживающее  лицо пациента, делающий охват шеи- обеспечивая легкий доступ для интубации во время операции. Должны подкладываться под шею, голову</w:t>
            </w:r>
            <w:proofErr w:type="gramStart"/>
            <w:r w:rsidRPr="00BE0111">
              <w:rPr>
                <w:sz w:val="20"/>
              </w:rPr>
              <w:t xml:space="preserve"> ,</w:t>
            </w:r>
            <w:proofErr w:type="gramEnd"/>
            <w:r w:rsidRPr="00BE0111">
              <w:rPr>
                <w:sz w:val="20"/>
              </w:rPr>
              <w:t xml:space="preserve"> спинной отдел позвоночника, крестец</w:t>
            </w:r>
          </w:p>
          <w:p w:rsidR="002072A0" w:rsidRPr="00BE0111" w:rsidRDefault="002072A0" w:rsidP="006A7C5C">
            <w:pPr>
              <w:rPr>
                <w:sz w:val="20"/>
              </w:rPr>
            </w:pPr>
            <w:r w:rsidRPr="00BE0111">
              <w:rPr>
                <w:sz w:val="20"/>
              </w:rPr>
              <w:t>Размеры:  не менее 199, и не более200мм*  не менее 49* и не более   x 50 мм</w:t>
            </w:r>
          </w:p>
          <w:p w:rsidR="002072A0" w:rsidRPr="00BE0111" w:rsidRDefault="002072A0" w:rsidP="006A7C5C">
            <w:pPr>
              <w:rPr>
                <w:sz w:val="20"/>
              </w:rPr>
            </w:pPr>
            <w:r w:rsidRPr="00BE0111">
              <w:rPr>
                <w:sz w:val="20"/>
              </w:rPr>
              <w:t xml:space="preserve"> В комплекте с кроватью должна иметься тумбочка  для  размещения в ней  средств  личной  гигиены, приема пищи. Габаритные размеры:  не более и не менее  4480м * 416мм *  3560мм.</w:t>
            </w:r>
          </w:p>
          <w:p w:rsidR="002072A0" w:rsidRPr="00BE0111" w:rsidRDefault="002072A0" w:rsidP="006A7C5C">
            <w:pPr>
              <w:rPr>
                <w:sz w:val="20"/>
              </w:rPr>
            </w:pPr>
            <w:r w:rsidRPr="00BE0111">
              <w:rPr>
                <w:sz w:val="20"/>
              </w:rPr>
              <w:t>Надставная полка габаритные размеры не более и не менее: 418мм *  356мм.</w:t>
            </w:r>
          </w:p>
          <w:p w:rsidR="002072A0" w:rsidRPr="00BE0111" w:rsidRDefault="002072A0" w:rsidP="006A7C5C">
            <w:pPr>
              <w:rPr>
                <w:sz w:val="20"/>
              </w:rPr>
            </w:pPr>
            <w:r w:rsidRPr="00BE0111">
              <w:rPr>
                <w:sz w:val="20"/>
              </w:rPr>
              <w:t>Высота надставной полки над основанием тумбы:  не менее 148  и не более 149мм.</w:t>
            </w:r>
          </w:p>
          <w:p w:rsidR="002072A0" w:rsidRPr="00BE0111" w:rsidRDefault="002072A0" w:rsidP="006A7C5C">
            <w:pPr>
              <w:rPr>
                <w:sz w:val="20"/>
              </w:rPr>
            </w:pPr>
            <w:r w:rsidRPr="00BE0111">
              <w:rPr>
                <w:sz w:val="20"/>
              </w:rPr>
              <w:t xml:space="preserve">Общие габаритные размеры с надставной полкой не более и не менее   588мм * </w:t>
            </w:r>
            <w:proofErr w:type="gramStart"/>
            <w:r w:rsidRPr="00BE0111">
              <w:rPr>
                <w:sz w:val="20"/>
              </w:rPr>
              <w:t>Ш</w:t>
            </w:r>
            <w:proofErr w:type="gramEnd"/>
            <w:r w:rsidRPr="00BE0111">
              <w:rPr>
                <w:sz w:val="20"/>
              </w:rPr>
              <w:t xml:space="preserve"> 418мм * Г 360мм.</w:t>
            </w:r>
          </w:p>
          <w:p w:rsidR="002072A0" w:rsidRPr="00BE0111" w:rsidRDefault="002072A0" w:rsidP="006A7C5C">
            <w:pPr>
              <w:rPr>
                <w:sz w:val="20"/>
              </w:rPr>
            </w:pPr>
            <w:r w:rsidRPr="00BE0111">
              <w:rPr>
                <w:sz w:val="20"/>
              </w:rPr>
              <w:t>Тумба  должна иметь: один выдвижной ящик, распашную дверцу с нишей, надставную полку, комплект из 4-х самоориентирующихся колесили присосок.</w:t>
            </w:r>
          </w:p>
          <w:p w:rsidR="00FA1344" w:rsidRPr="00BE0111" w:rsidRDefault="002072A0" w:rsidP="006A7C5C">
            <w:pPr>
              <w:pStyle w:val="a7"/>
              <w:widowControl w:val="0"/>
              <w:autoSpaceDE w:val="0"/>
              <w:autoSpaceDN w:val="0"/>
              <w:rPr>
                <w:sz w:val="20"/>
              </w:rPr>
            </w:pPr>
            <w:r w:rsidRPr="00BE0111">
              <w:rPr>
                <w:sz w:val="20"/>
              </w:rPr>
              <w:t>Изделие должно быть  выполнено из листового металла толщиной не менее  1,1  и не болеем 1,2мм и каркаса из профильной трубы. Цвет  тумбы  должен быть  белый  с голубыми  вставками.</w:t>
            </w:r>
            <w:r w:rsidR="00BE0111" w:rsidRPr="00BE0111">
              <w:rPr>
                <w:sz w:val="20"/>
                <w:szCs w:val="22"/>
              </w:rPr>
              <w:t xml:space="preserve"> Кабель </w:t>
            </w:r>
            <w:r w:rsidR="00BE0111" w:rsidRPr="00BE0111">
              <w:rPr>
                <w:sz w:val="20"/>
                <w:szCs w:val="22"/>
              </w:rPr>
              <w:lastRenderedPageBreak/>
              <w:t>питания</w:t>
            </w:r>
            <w:r w:rsidR="00FA1344">
              <w:rPr>
                <w:sz w:val="20"/>
                <w:szCs w:val="22"/>
                <w:lang w:val="kk-KZ"/>
              </w:rPr>
              <w:t>:</w:t>
            </w:r>
            <w:r w:rsidR="00FA1344" w:rsidRPr="00BE0111">
              <w:rPr>
                <w:sz w:val="20"/>
              </w:rPr>
              <w:t xml:space="preserve"> Кабель питания кровати должен быть белого цвета с целью предотвращения случайного вырывания  из</w:t>
            </w:r>
            <w:r w:rsidR="00FA1344">
              <w:rPr>
                <w:sz w:val="20"/>
              </w:rPr>
              <w:t xml:space="preserve"> розетки и креплением к кровати</w:t>
            </w:r>
            <w:r w:rsidR="00FA1344">
              <w:rPr>
                <w:sz w:val="20"/>
                <w:lang w:val="kk-KZ"/>
              </w:rPr>
              <w:t>-1 штуков;</w:t>
            </w:r>
            <w:r w:rsidR="00FA1344" w:rsidRPr="00BE0111">
              <w:rPr>
                <w:sz w:val="18"/>
                <w:szCs w:val="22"/>
              </w:rPr>
              <w:t xml:space="preserve"> Панель управления пациент</w:t>
            </w:r>
            <w:proofErr w:type="gramStart"/>
            <w:r w:rsidR="00FA1344" w:rsidRPr="00BE0111">
              <w:rPr>
                <w:sz w:val="18"/>
                <w:szCs w:val="22"/>
              </w:rPr>
              <w:t>а</w:t>
            </w:r>
            <w:r w:rsidR="00FA1344">
              <w:rPr>
                <w:sz w:val="18"/>
                <w:szCs w:val="22"/>
                <w:lang w:val="kk-KZ"/>
              </w:rPr>
              <w:t>-</w:t>
            </w:r>
            <w:proofErr w:type="gramEnd"/>
            <w:r w:rsidR="00FA1344" w:rsidRPr="00BE0111">
              <w:rPr>
                <w:sz w:val="20"/>
              </w:rPr>
              <w:t xml:space="preserve"> Должны быть встроенные    боковые   ограждения.   Должны выполнять следующие функции: регулировка спинной секции, регулировка бедренной секции, положение для СЛР, регулировка высоты, продольных наклонов. Панель управления должна быть в боковом ограждении также имеет кнопку активации, препятствующую несанкционированному изменени</w:t>
            </w:r>
            <w:r w:rsidR="00FA1344">
              <w:rPr>
                <w:sz w:val="20"/>
              </w:rPr>
              <w:t>ю положения секций ложа кровати</w:t>
            </w:r>
            <w:r w:rsidR="00FA1344">
              <w:rPr>
                <w:sz w:val="20"/>
                <w:lang w:val="kk-KZ"/>
              </w:rPr>
              <w:t>-4 штуков;</w:t>
            </w:r>
            <w:r w:rsidR="00FA1344" w:rsidRPr="00BE0111">
              <w:rPr>
                <w:sz w:val="18"/>
                <w:szCs w:val="22"/>
              </w:rPr>
              <w:t xml:space="preserve"> Матра</w:t>
            </w:r>
            <w:proofErr w:type="gramStart"/>
            <w:r w:rsidR="00FA1344" w:rsidRPr="00BE0111">
              <w:rPr>
                <w:sz w:val="18"/>
                <w:szCs w:val="22"/>
              </w:rPr>
              <w:t>с</w:t>
            </w:r>
            <w:r w:rsidR="00FA1344">
              <w:rPr>
                <w:sz w:val="18"/>
                <w:szCs w:val="22"/>
                <w:lang w:val="kk-KZ"/>
              </w:rPr>
              <w:t>-</w:t>
            </w:r>
            <w:proofErr w:type="gramEnd"/>
            <w:r w:rsidR="00FA1344" w:rsidRPr="00BE0111">
              <w:rPr>
                <w:sz w:val="20"/>
              </w:rPr>
              <w:t xml:space="preserve"> должен состоять  из двух   споев:   нижнего слоя и холодного , </w:t>
            </w:r>
            <w:proofErr w:type="spellStart"/>
            <w:r w:rsidR="00FA1344" w:rsidRPr="00BE0111">
              <w:rPr>
                <w:sz w:val="20"/>
              </w:rPr>
              <w:t>пено</w:t>
            </w:r>
            <w:proofErr w:type="spellEnd"/>
            <w:r w:rsidR="00FA1344" w:rsidRPr="00BE0111">
              <w:rPr>
                <w:sz w:val="20"/>
              </w:rPr>
              <w:t xml:space="preserve"> материала специальной формы   плотностью должна быть не менее 31 кг/м3 и не более  32 кг/</w:t>
            </w:r>
            <w:proofErr w:type="spellStart"/>
            <w:r w:rsidR="00FA1344" w:rsidRPr="00BE0111">
              <w:rPr>
                <w:sz w:val="20"/>
              </w:rPr>
              <w:t>мЗ</w:t>
            </w:r>
            <w:proofErr w:type="spellEnd"/>
            <w:r w:rsidR="00FA1344" w:rsidRPr="00BE0111">
              <w:rPr>
                <w:sz w:val="20"/>
              </w:rPr>
              <w:t xml:space="preserve"> </w:t>
            </w:r>
          </w:p>
          <w:p w:rsidR="00FA1344" w:rsidRPr="00BE0111" w:rsidRDefault="00FA1344" w:rsidP="006A7C5C">
            <w:pPr>
              <w:pStyle w:val="a7"/>
              <w:widowControl w:val="0"/>
              <w:autoSpaceDE w:val="0"/>
              <w:autoSpaceDN w:val="0"/>
              <w:rPr>
                <w:sz w:val="20"/>
              </w:rPr>
            </w:pPr>
            <w:r w:rsidRPr="00BE0111">
              <w:rPr>
                <w:sz w:val="20"/>
              </w:rPr>
              <w:t>толщиной  не менее 79 мм и не более 80 мм и вязкоупругого верхнего слоя (термочувствительного) плотностью не менее 49 кг/м3 и не более 50 кг/</w:t>
            </w:r>
            <w:proofErr w:type="spellStart"/>
            <w:r w:rsidRPr="00BE0111">
              <w:rPr>
                <w:sz w:val="20"/>
              </w:rPr>
              <w:t>мЗ</w:t>
            </w:r>
            <w:proofErr w:type="spellEnd"/>
            <w:r w:rsidRPr="00BE0111">
              <w:rPr>
                <w:sz w:val="20"/>
              </w:rPr>
              <w:t xml:space="preserve"> и толщиной не менее 39 мм и не более 40 мм. </w:t>
            </w:r>
          </w:p>
          <w:p w:rsidR="00FA1344" w:rsidRPr="00BE0111" w:rsidRDefault="00FA1344" w:rsidP="006A7C5C">
            <w:pPr>
              <w:pStyle w:val="a7"/>
              <w:widowControl w:val="0"/>
              <w:autoSpaceDE w:val="0"/>
              <w:autoSpaceDN w:val="0"/>
              <w:rPr>
                <w:sz w:val="20"/>
              </w:rPr>
            </w:pPr>
            <w:r w:rsidRPr="00BE0111">
              <w:rPr>
                <w:sz w:val="20"/>
              </w:rPr>
              <w:t>Нижний слой должен выступать в качестве поддерживающего слоя, распределять вес пациента по всей поверхности, а также предотвращать накопления  тепла пациента, отводя излишнее тепло через специальные  вентиляционные отверстия. Верхний слой должен обеспечивать комфорт пациента, в также предотвращать образование пролежней</w:t>
            </w:r>
            <w:proofErr w:type="gramStart"/>
            <w:r w:rsidRPr="00BE0111">
              <w:rPr>
                <w:sz w:val="20"/>
              </w:rPr>
              <w:t xml:space="preserve"> ,</w:t>
            </w:r>
            <w:proofErr w:type="gramEnd"/>
            <w:r w:rsidRPr="00BE0111">
              <w:rPr>
                <w:sz w:val="20"/>
              </w:rPr>
              <w:t xml:space="preserve"> должен подстраиваться  под форму и температуру тела, поглощая излишнее тепло.</w:t>
            </w:r>
          </w:p>
          <w:p w:rsidR="00FA1344" w:rsidRPr="00BE0111" w:rsidRDefault="00FA1344" w:rsidP="006A7C5C">
            <w:pPr>
              <w:pStyle w:val="a7"/>
              <w:widowControl w:val="0"/>
              <w:autoSpaceDE w:val="0"/>
              <w:autoSpaceDN w:val="0"/>
              <w:rPr>
                <w:sz w:val="20"/>
              </w:rPr>
            </w:pPr>
            <w:r w:rsidRPr="00BE0111">
              <w:rPr>
                <w:sz w:val="20"/>
              </w:rPr>
              <w:t>Матрас</w:t>
            </w:r>
            <w:r w:rsidRPr="00BE0111">
              <w:rPr>
                <w:sz w:val="20"/>
              </w:rPr>
              <w:tab/>
              <w:t xml:space="preserve"> должен располагаться на кровати вязкоупругим слоем наверх, так как он реагирует на температуру тела и вес. </w:t>
            </w:r>
          </w:p>
          <w:p w:rsidR="002072A0" w:rsidRPr="00FA1344" w:rsidRDefault="00FA1344" w:rsidP="006A7C5C">
            <w:pPr>
              <w:rPr>
                <w:sz w:val="20"/>
                <w:lang w:val="kk-KZ"/>
              </w:rPr>
            </w:pPr>
            <w:r w:rsidRPr="00BE0111">
              <w:rPr>
                <w:sz w:val="20"/>
              </w:rPr>
              <w:t xml:space="preserve">Размер матраса – не менее 195 и не более 196xне менее 85 и не более 86 x не менее 11 и не более </w:t>
            </w:r>
            <w:r>
              <w:rPr>
                <w:sz w:val="20"/>
              </w:rPr>
              <w:t>12 см</w:t>
            </w:r>
            <w:r>
              <w:rPr>
                <w:sz w:val="20"/>
                <w:lang w:val="kk-KZ"/>
              </w:rPr>
              <w:t>-1 штуков;</w:t>
            </w:r>
          </w:p>
          <w:p w:rsidR="00FA1344" w:rsidRPr="00BE0111" w:rsidRDefault="00FA1344" w:rsidP="006A7C5C">
            <w:pPr>
              <w:pStyle w:val="a7"/>
              <w:widowControl w:val="0"/>
              <w:autoSpaceDE w:val="0"/>
              <w:autoSpaceDN w:val="0"/>
              <w:rPr>
                <w:sz w:val="20"/>
              </w:rPr>
            </w:pPr>
            <w:r w:rsidRPr="00BE0111">
              <w:rPr>
                <w:sz w:val="18"/>
                <w:szCs w:val="22"/>
              </w:rPr>
              <w:t>Чехол для матрас</w:t>
            </w:r>
            <w:proofErr w:type="gramStart"/>
            <w:r w:rsidRPr="00BE0111">
              <w:rPr>
                <w:sz w:val="18"/>
                <w:szCs w:val="22"/>
              </w:rPr>
              <w:t>а</w:t>
            </w:r>
            <w:r>
              <w:rPr>
                <w:sz w:val="18"/>
                <w:szCs w:val="22"/>
                <w:lang w:val="kk-KZ"/>
              </w:rPr>
              <w:t>-</w:t>
            </w:r>
            <w:proofErr w:type="gramEnd"/>
            <w:r w:rsidRPr="00BE0111">
              <w:rPr>
                <w:sz w:val="20"/>
              </w:rPr>
              <w:t xml:space="preserve"> Чехол на матрас должен обладать антибактериальными  свойствами. </w:t>
            </w:r>
          </w:p>
          <w:p w:rsidR="00FA1344" w:rsidRPr="00BE0111" w:rsidRDefault="00FA1344" w:rsidP="006A7C5C">
            <w:pPr>
              <w:pStyle w:val="a7"/>
              <w:widowControl w:val="0"/>
              <w:autoSpaceDE w:val="0"/>
              <w:autoSpaceDN w:val="0"/>
              <w:rPr>
                <w:sz w:val="20"/>
              </w:rPr>
            </w:pPr>
            <w:r w:rsidRPr="00BE0111">
              <w:rPr>
                <w:sz w:val="20"/>
              </w:rPr>
              <w:t xml:space="preserve">Должен не содержать  вредных для здоровья </w:t>
            </w:r>
            <w:r w:rsidRPr="00BE0111">
              <w:rPr>
                <w:sz w:val="20"/>
              </w:rPr>
              <w:lastRenderedPageBreak/>
              <w:t xml:space="preserve">химических веществ, таких как мышьяк, кадмий, хром, кобальт, никель, ртуть, сурьма и т.д. Чехол должен  быть прочным, </w:t>
            </w:r>
            <w:proofErr w:type="spellStart"/>
            <w:r w:rsidRPr="00BE0111">
              <w:rPr>
                <w:sz w:val="20"/>
              </w:rPr>
              <w:t>устойчевым</w:t>
            </w:r>
            <w:proofErr w:type="spellEnd"/>
            <w:r w:rsidRPr="00BE0111">
              <w:rPr>
                <w:sz w:val="20"/>
              </w:rPr>
              <w:t xml:space="preserve"> при усилиях на разрыв. </w:t>
            </w:r>
          </w:p>
          <w:p w:rsidR="00FA1344" w:rsidRPr="00BE0111" w:rsidRDefault="00FA1344" w:rsidP="006A7C5C">
            <w:pPr>
              <w:pStyle w:val="a7"/>
              <w:widowControl w:val="0"/>
              <w:autoSpaceDE w:val="0"/>
              <w:autoSpaceDN w:val="0"/>
              <w:rPr>
                <w:sz w:val="20"/>
              </w:rPr>
            </w:pPr>
            <w:r w:rsidRPr="00BE0111">
              <w:rPr>
                <w:sz w:val="20"/>
              </w:rPr>
              <w:t xml:space="preserve">Не должен пропускать жидкости, кровь, мочу и должен защищать матрас от загрязнений. </w:t>
            </w:r>
          </w:p>
          <w:p w:rsidR="001B799A" w:rsidRPr="001B799A" w:rsidRDefault="00FA1344" w:rsidP="001B799A">
            <w:pPr>
              <w:pStyle w:val="10"/>
              <w:rPr>
                <w:szCs w:val="24"/>
              </w:rPr>
            </w:pPr>
            <w:r w:rsidRPr="00BE0111">
              <w:t>Должен быть изгото</w:t>
            </w:r>
            <w:r>
              <w:t>влен из ПВХ материала на молнии</w:t>
            </w:r>
            <w:r>
              <w:rPr>
                <w:lang w:val="kk-KZ"/>
              </w:rPr>
              <w:t>-1 штуков;</w:t>
            </w:r>
            <w:r w:rsidRPr="00BE0111">
              <w:rPr>
                <w:rFonts w:eastAsia="Calibri"/>
                <w:sz w:val="18"/>
              </w:rPr>
              <w:t xml:space="preserve"> Пульт управления ручно</w:t>
            </w:r>
            <w:proofErr w:type="gramStart"/>
            <w:r w:rsidRPr="00BE0111">
              <w:rPr>
                <w:rFonts w:eastAsia="Calibri"/>
                <w:sz w:val="18"/>
              </w:rPr>
              <w:t>й</w:t>
            </w:r>
            <w:r>
              <w:rPr>
                <w:rFonts w:eastAsia="Calibri"/>
                <w:sz w:val="18"/>
                <w:lang w:val="kk-KZ"/>
              </w:rPr>
              <w:t>-</w:t>
            </w:r>
            <w:proofErr w:type="gramEnd"/>
            <w:r w:rsidRPr="00BE0111">
              <w:t xml:space="preserve"> Для комфортного расположения в руке пульт должен иметь  оптимизированную эргономичную форму. Ручной пульт управления должен быть соединен с кроватью витым кабелем, медицинский работник  и пациент могут легко использовать его, находясь в любом положении. Пульт должен иметь крепления, позволяющие размещать пульт и крепить его на боковых ограждениях кровати. Пульт должен обладать  высокой степенью водонепроницаемости благодаря использованию различных видов защитной оболочки стандарта </w:t>
            </w:r>
            <w:r w:rsidRPr="00BE0111">
              <w:rPr>
                <w:lang w:val="en-US"/>
              </w:rPr>
              <w:t>IPX</w:t>
            </w:r>
            <w:r w:rsidRPr="00BE0111">
              <w:t xml:space="preserve">6 </w:t>
            </w:r>
            <w:r w:rsidRPr="00BE0111">
              <w:rPr>
                <w:lang w:val="en-US"/>
              </w:rPr>
              <w:t>Washable</w:t>
            </w:r>
            <w:r w:rsidRPr="00BE0111">
              <w:t xml:space="preserve"> </w:t>
            </w:r>
            <w:r w:rsidRPr="00BE0111">
              <w:rPr>
                <w:lang w:val="en-US"/>
              </w:rPr>
              <w:t>DURA</w:t>
            </w:r>
            <w:r>
              <w:rPr>
                <w:lang w:val="kk-KZ"/>
              </w:rPr>
              <w:t>-1 штуков;</w:t>
            </w:r>
            <w:r w:rsidRPr="00BE0111">
              <w:rPr>
                <w:rFonts w:eastAsia="Calibri"/>
                <w:sz w:val="18"/>
              </w:rPr>
              <w:t xml:space="preserve"> </w:t>
            </w:r>
            <w:proofErr w:type="spellStart"/>
            <w:r w:rsidRPr="00BE0111">
              <w:rPr>
                <w:rFonts w:eastAsia="Calibri"/>
                <w:sz w:val="18"/>
              </w:rPr>
              <w:t>Инфузионная</w:t>
            </w:r>
            <w:proofErr w:type="spellEnd"/>
            <w:r w:rsidRPr="00BE0111">
              <w:rPr>
                <w:rFonts w:eastAsia="Calibri"/>
                <w:sz w:val="18"/>
              </w:rPr>
              <w:t xml:space="preserve"> стойка</w:t>
            </w:r>
            <w:r>
              <w:rPr>
                <w:rFonts w:eastAsia="Calibri"/>
                <w:sz w:val="18"/>
                <w:lang w:val="kk-KZ"/>
              </w:rPr>
              <w:t>-</w:t>
            </w:r>
            <w:r w:rsidRPr="00BE0111">
              <w:rPr>
                <w:color w:val="181818"/>
              </w:rPr>
              <w:t xml:space="preserve"> Должна быть </w:t>
            </w:r>
            <w:proofErr w:type="spellStart"/>
            <w:r w:rsidRPr="00BE0111">
              <w:rPr>
                <w:color w:val="181818"/>
              </w:rPr>
              <w:t>устанавливлена</w:t>
            </w:r>
            <w:proofErr w:type="spellEnd"/>
            <w:r w:rsidRPr="00BE0111">
              <w:rPr>
                <w:color w:val="181818"/>
              </w:rPr>
              <w:t xml:space="preserve">  </w:t>
            </w:r>
            <w:r w:rsidRPr="00BE0111">
              <w:rPr>
                <w:color w:val="262626"/>
              </w:rPr>
              <w:t xml:space="preserve">в </w:t>
            </w:r>
            <w:r w:rsidRPr="00BE0111">
              <w:rPr>
                <w:color w:val="232323"/>
              </w:rPr>
              <w:t xml:space="preserve">одно </w:t>
            </w:r>
            <w:r w:rsidRPr="00BE0111">
              <w:rPr>
                <w:color w:val="212121"/>
              </w:rPr>
              <w:t xml:space="preserve">из </w:t>
            </w:r>
            <w:r w:rsidRPr="00BE0111">
              <w:rPr>
                <w:color w:val="161616"/>
              </w:rPr>
              <w:t xml:space="preserve">четырех угловых </w:t>
            </w:r>
            <w:r w:rsidRPr="00BE0111">
              <w:rPr>
                <w:color w:val="1A1A1A"/>
              </w:rPr>
              <w:t>отверстий</w:t>
            </w:r>
            <w:r w:rsidRPr="00BE0111">
              <w:rPr>
                <w:color w:val="1A1A1A"/>
                <w:spacing w:val="1"/>
              </w:rPr>
              <w:t xml:space="preserve"> </w:t>
            </w:r>
            <w:r w:rsidRPr="00BE0111">
              <w:rPr>
                <w:color w:val="1D1D1D"/>
              </w:rPr>
              <w:t xml:space="preserve">для </w:t>
            </w:r>
            <w:proofErr w:type="spellStart"/>
            <w:r w:rsidRPr="00BE0111">
              <w:rPr>
                <w:color w:val="181818"/>
              </w:rPr>
              <w:t>аксессуаров</w:t>
            </w:r>
            <w:proofErr w:type="gramStart"/>
            <w:r w:rsidRPr="00BE0111">
              <w:rPr>
                <w:color w:val="181818"/>
              </w:rPr>
              <w:t>.Д</w:t>
            </w:r>
            <w:proofErr w:type="gramEnd"/>
            <w:r w:rsidRPr="00BE0111">
              <w:rPr>
                <w:color w:val="181818"/>
              </w:rPr>
              <w:t>олжна</w:t>
            </w:r>
            <w:proofErr w:type="spellEnd"/>
            <w:r w:rsidRPr="00BE0111">
              <w:rPr>
                <w:color w:val="181818"/>
              </w:rPr>
              <w:t xml:space="preserve"> быть </w:t>
            </w:r>
            <w:r w:rsidRPr="00BE0111">
              <w:rPr>
                <w:color w:val="161616"/>
              </w:rPr>
              <w:t xml:space="preserve">изготовлена </w:t>
            </w:r>
            <w:r w:rsidRPr="00BE0111">
              <w:rPr>
                <w:color w:val="232323"/>
              </w:rPr>
              <w:t xml:space="preserve">из </w:t>
            </w:r>
            <w:r w:rsidRPr="00BE0111">
              <w:rPr>
                <w:color w:val="161616"/>
              </w:rPr>
              <w:t xml:space="preserve">нержавеющей </w:t>
            </w:r>
            <w:r w:rsidRPr="00BE0111">
              <w:rPr>
                <w:color w:val="1A1A1A"/>
              </w:rPr>
              <w:t>стали.</w:t>
            </w:r>
            <w:r w:rsidRPr="00BE0111">
              <w:rPr>
                <w:color w:val="1A1A1A"/>
                <w:spacing w:val="1"/>
              </w:rPr>
              <w:t xml:space="preserve"> Должна быть </w:t>
            </w:r>
            <w:r w:rsidRPr="00BE0111">
              <w:rPr>
                <w:color w:val="1A1A1A"/>
              </w:rPr>
              <w:t>оснащена</w:t>
            </w:r>
            <w:r w:rsidRPr="00BE0111">
              <w:rPr>
                <w:color w:val="1A1A1A"/>
                <w:spacing w:val="1"/>
              </w:rPr>
              <w:t xml:space="preserve"> </w:t>
            </w:r>
            <w:r w:rsidRPr="00BE0111">
              <w:rPr>
                <w:color w:val="1A1A1A"/>
              </w:rPr>
              <w:t>четырьмя</w:t>
            </w:r>
            <w:r w:rsidRPr="00BE0111">
              <w:rPr>
                <w:color w:val="1A1A1A"/>
                <w:spacing w:val="1"/>
              </w:rPr>
              <w:t xml:space="preserve"> </w:t>
            </w:r>
            <w:r w:rsidRPr="00BE0111">
              <w:rPr>
                <w:color w:val="161616"/>
              </w:rPr>
              <w:t xml:space="preserve">пластиковыми </w:t>
            </w:r>
            <w:r w:rsidRPr="00BE0111">
              <w:rPr>
                <w:color w:val="161616"/>
                <w:spacing w:val="1"/>
              </w:rPr>
              <w:t xml:space="preserve"> </w:t>
            </w:r>
            <w:r w:rsidRPr="00BE0111">
              <w:rPr>
                <w:color w:val="1A1A1A"/>
              </w:rPr>
              <w:t>крюками.</w:t>
            </w:r>
            <w:r w:rsidRPr="00BE0111">
              <w:rPr>
                <w:color w:val="1A1A1A"/>
                <w:spacing w:val="1"/>
              </w:rPr>
              <w:t xml:space="preserve"> </w:t>
            </w:r>
            <w:r w:rsidRPr="00BE0111">
              <w:rPr>
                <w:color w:val="131313"/>
              </w:rPr>
              <w:t>Высота</w:t>
            </w:r>
            <w:r w:rsidRPr="00BE0111">
              <w:rPr>
                <w:color w:val="131313"/>
                <w:spacing w:val="-52"/>
              </w:rPr>
              <w:t xml:space="preserve">  </w:t>
            </w:r>
            <w:proofErr w:type="spellStart"/>
            <w:r w:rsidRPr="00BE0111">
              <w:rPr>
                <w:color w:val="161616"/>
              </w:rPr>
              <w:t>инфузионной</w:t>
            </w:r>
            <w:proofErr w:type="spellEnd"/>
            <w:r w:rsidRPr="00BE0111">
              <w:rPr>
                <w:color w:val="161616"/>
                <w:spacing w:val="1"/>
              </w:rPr>
              <w:t xml:space="preserve"> </w:t>
            </w:r>
            <w:r w:rsidRPr="00BE0111">
              <w:rPr>
                <w:color w:val="161616"/>
              </w:rPr>
              <w:t>стойки</w:t>
            </w:r>
            <w:r w:rsidRPr="00BE0111">
              <w:rPr>
                <w:color w:val="161616"/>
                <w:spacing w:val="1"/>
              </w:rPr>
              <w:t xml:space="preserve"> должна </w:t>
            </w:r>
            <w:r w:rsidRPr="00BE0111">
              <w:rPr>
                <w:color w:val="131313"/>
              </w:rPr>
              <w:t>регулироваться</w:t>
            </w:r>
            <w:r w:rsidRPr="00BE0111">
              <w:rPr>
                <w:color w:val="131313"/>
                <w:spacing w:val="1"/>
              </w:rPr>
              <w:t xml:space="preserve"> </w:t>
            </w:r>
            <w:r w:rsidRPr="00BE0111">
              <w:rPr>
                <w:color w:val="181818"/>
              </w:rPr>
              <w:t>телескопическим</w:t>
            </w:r>
            <w:r w:rsidRPr="00BE0111">
              <w:rPr>
                <w:color w:val="181818"/>
                <w:spacing w:val="1"/>
              </w:rPr>
              <w:t xml:space="preserve"> </w:t>
            </w:r>
            <w:proofErr w:type="gramStart"/>
            <w:r w:rsidRPr="00BE0111">
              <w:rPr>
                <w:color w:val="131313"/>
              </w:rPr>
              <w:t>механизмом</w:t>
            </w:r>
            <w:proofErr w:type="gramEnd"/>
            <w:r w:rsidRPr="00BE0111">
              <w:rPr>
                <w:color w:val="131313"/>
              </w:rPr>
              <w:t xml:space="preserve"> и составляет не менее 124 мм и не более </w:t>
            </w:r>
            <w:r w:rsidRPr="00BE0111">
              <w:rPr>
                <w:color w:val="1A1A1A"/>
              </w:rPr>
              <w:t>125мм</w:t>
            </w:r>
            <w:r w:rsidRPr="00BE0111">
              <w:rPr>
                <w:color w:val="131313"/>
              </w:rPr>
              <w:t xml:space="preserve"> в сложенном состоянии</w:t>
            </w:r>
            <w:r w:rsidRPr="00BE0111">
              <w:rPr>
                <w:color w:val="131313"/>
                <w:spacing w:val="6"/>
              </w:rPr>
              <w:t xml:space="preserve"> </w:t>
            </w:r>
            <w:r w:rsidRPr="00BE0111">
              <w:rPr>
                <w:color w:val="1A1A1A"/>
              </w:rPr>
              <w:t>и</w:t>
            </w:r>
            <w:r w:rsidRPr="00BE0111">
              <w:rPr>
                <w:color w:val="1A1A1A"/>
                <w:spacing w:val="49"/>
              </w:rPr>
              <w:t xml:space="preserve"> не менее 164 мм и не более </w:t>
            </w:r>
            <w:r w:rsidRPr="00BE0111">
              <w:rPr>
                <w:color w:val="1C1C1C"/>
              </w:rPr>
              <w:t>165</w:t>
            </w:r>
            <w:r w:rsidRPr="00BE0111">
              <w:rPr>
                <w:color w:val="1C1C1C"/>
                <w:spacing w:val="-5"/>
              </w:rPr>
              <w:t xml:space="preserve"> </w:t>
            </w:r>
            <w:r w:rsidRPr="00BE0111">
              <w:rPr>
                <w:color w:val="1A1A1A"/>
              </w:rPr>
              <w:t>мм</w:t>
            </w:r>
            <w:r w:rsidRPr="00BE0111">
              <w:rPr>
                <w:color w:val="1A1A1A"/>
                <w:spacing w:val="-1"/>
              </w:rPr>
              <w:t xml:space="preserve"> </w:t>
            </w:r>
            <w:r w:rsidRPr="00BE0111">
              <w:rPr>
                <w:color w:val="1F1F1F"/>
              </w:rPr>
              <w:t>в</w:t>
            </w:r>
            <w:r w:rsidRPr="00BE0111">
              <w:rPr>
                <w:color w:val="1F1F1F"/>
                <w:spacing w:val="-6"/>
              </w:rPr>
              <w:t xml:space="preserve"> </w:t>
            </w:r>
            <w:r w:rsidRPr="00BE0111">
              <w:rPr>
                <w:color w:val="181818"/>
              </w:rPr>
              <w:t>раздвинутом</w:t>
            </w:r>
            <w:r w:rsidRPr="00BE0111">
              <w:rPr>
                <w:color w:val="181818"/>
                <w:spacing w:val="8"/>
              </w:rPr>
              <w:t xml:space="preserve"> </w:t>
            </w:r>
            <w:r>
              <w:rPr>
                <w:color w:val="181818"/>
              </w:rPr>
              <w:t>положении</w:t>
            </w:r>
            <w:r>
              <w:rPr>
                <w:color w:val="181818"/>
                <w:lang w:val="kk-KZ"/>
              </w:rPr>
              <w:t xml:space="preserve"> – 1 штуков; </w:t>
            </w:r>
            <w:r w:rsidRPr="00BE0111">
              <w:rPr>
                <w:rFonts w:eastAsia="Calibri"/>
                <w:sz w:val="18"/>
              </w:rPr>
              <w:t>Держатель для мочеприемника</w:t>
            </w:r>
            <w:r>
              <w:rPr>
                <w:rFonts w:eastAsia="Calibri"/>
                <w:sz w:val="18"/>
                <w:lang w:val="kk-KZ"/>
              </w:rPr>
              <w:t xml:space="preserve"> - </w:t>
            </w:r>
            <w:r w:rsidRPr="00BE0111">
              <w:rPr>
                <w:color w:val="1A1A1A"/>
              </w:rPr>
              <w:t xml:space="preserve">Должен быть </w:t>
            </w:r>
            <w:proofErr w:type="spellStart"/>
            <w:r w:rsidRPr="00BE0111">
              <w:rPr>
                <w:color w:val="1A1A1A"/>
              </w:rPr>
              <w:t>Изготовленые</w:t>
            </w:r>
            <w:proofErr w:type="spellEnd"/>
            <w:r w:rsidRPr="00BE0111">
              <w:rPr>
                <w:color w:val="1A1A1A"/>
              </w:rPr>
              <w:t xml:space="preserve"> </w:t>
            </w:r>
            <w:r w:rsidRPr="00BE0111">
              <w:rPr>
                <w:color w:val="1A1A1A"/>
              </w:rPr>
              <w:tab/>
            </w:r>
            <w:r w:rsidRPr="00BE0111">
              <w:rPr>
                <w:color w:val="1D1D1D"/>
              </w:rPr>
              <w:t xml:space="preserve">из </w:t>
            </w:r>
            <w:r w:rsidRPr="00BE0111">
              <w:rPr>
                <w:color w:val="0C0C0C"/>
              </w:rPr>
              <w:t>ABS  п</w:t>
            </w:r>
            <w:r w:rsidRPr="00BE0111">
              <w:rPr>
                <w:color w:val="1C1C1C"/>
              </w:rPr>
              <w:t xml:space="preserve">ластика. Должны быть расположены на </w:t>
            </w:r>
            <w:r w:rsidRPr="00BE0111">
              <w:rPr>
                <w:color w:val="1C1C1C"/>
                <w:spacing w:val="1"/>
              </w:rPr>
              <w:t xml:space="preserve"> </w:t>
            </w:r>
            <w:r w:rsidRPr="00BE0111">
              <w:rPr>
                <w:color w:val="161616"/>
              </w:rPr>
              <w:t>боковых</w:t>
            </w:r>
            <w:r w:rsidRPr="00BE0111">
              <w:rPr>
                <w:color w:val="161616"/>
                <w:spacing w:val="21"/>
              </w:rPr>
              <w:t xml:space="preserve"> </w:t>
            </w:r>
            <w:r w:rsidRPr="00BE0111">
              <w:rPr>
                <w:color w:val="131313"/>
              </w:rPr>
              <w:t>ограждениях</w:t>
            </w:r>
            <w:r w:rsidRPr="00BE0111">
              <w:rPr>
                <w:color w:val="131313"/>
                <w:spacing w:val="34"/>
              </w:rPr>
              <w:t xml:space="preserve"> </w:t>
            </w:r>
            <w:r w:rsidRPr="00BE0111">
              <w:rPr>
                <w:color w:val="181818"/>
              </w:rPr>
              <w:t>кровати</w:t>
            </w:r>
            <w:r w:rsidRPr="00BE0111">
              <w:rPr>
                <w:color w:val="181818"/>
                <w:spacing w:val="22"/>
              </w:rPr>
              <w:t xml:space="preserve"> </w:t>
            </w:r>
            <w:r w:rsidRPr="00BE0111">
              <w:rPr>
                <w:color w:val="1A1A1A"/>
              </w:rPr>
              <w:t xml:space="preserve">(по не менее </w:t>
            </w:r>
            <w:r w:rsidRPr="00BE0111">
              <w:rPr>
                <w:color w:val="1A1A1A"/>
                <w:spacing w:val="22"/>
              </w:rPr>
              <w:t xml:space="preserve"> </w:t>
            </w:r>
            <w:r w:rsidRPr="00BE0111">
              <w:rPr>
                <w:color w:val="181818"/>
              </w:rPr>
              <w:t>1</w:t>
            </w:r>
            <w:r w:rsidRPr="00BE0111">
              <w:rPr>
                <w:color w:val="181818"/>
                <w:spacing w:val="15"/>
              </w:rPr>
              <w:t xml:space="preserve"> </w:t>
            </w:r>
            <w:r w:rsidRPr="00BE0111">
              <w:rPr>
                <w:color w:val="1C1C1C"/>
              </w:rPr>
              <w:t>штуке</w:t>
            </w:r>
            <w:r w:rsidRPr="00BE0111">
              <w:rPr>
                <w:color w:val="1C1C1C"/>
                <w:spacing w:val="22"/>
              </w:rPr>
              <w:t xml:space="preserve"> </w:t>
            </w:r>
            <w:r w:rsidRPr="00BE0111">
              <w:rPr>
                <w:color w:val="212121"/>
              </w:rPr>
              <w:t>на</w:t>
            </w:r>
            <w:r w:rsidRPr="00BE0111">
              <w:rPr>
                <w:color w:val="212121"/>
                <w:spacing w:val="8"/>
              </w:rPr>
              <w:t xml:space="preserve"> </w:t>
            </w:r>
            <w:r w:rsidRPr="00BE0111">
              <w:rPr>
                <w:color w:val="1C1C1C"/>
              </w:rPr>
              <w:t>каждом</w:t>
            </w:r>
            <w:r w:rsidRPr="00BE0111">
              <w:rPr>
                <w:color w:val="1C1C1C"/>
                <w:spacing w:val="-52"/>
              </w:rPr>
              <w:t xml:space="preserve">    </w:t>
            </w:r>
            <w:r>
              <w:rPr>
                <w:color w:val="080808"/>
              </w:rPr>
              <w:t xml:space="preserve"> ограждении)</w:t>
            </w:r>
            <w:r>
              <w:rPr>
                <w:color w:val="080808"/>
                <w:lang w:val="kk-KZ"/>
              </w:rPr>
              <w:t xml:space="preserve"> – 4 штука.</w:t>
            </w:r>
            <w:r w:rsidR="001B799A" w:rsidRPr="006A093A">
              <w:t xml:space="preserve"> </w:t>
            </w:r>
            <w:bookmarkStart w:id="0" w:name="_GoBack"/>
            <w:r w:rsidR="001B799A" w:rsidRPr="001B799A">
              <w:rPr>
                <w:szCs w:val="24"/>
              </w:rPr>
              <w:t>Гарантийное сервисное обслуживание МТ не менее  37 месяцев, за исключением расходных материалов.</w:t>
            </w:r>
          </w:p>
          <w:p w:rsidR="001B799A" w:rsidRPr="001B799A" w:rsidRDefault="001B799A" w:rsidP="001B799A">
            <w:pPr>
              <w:pStyle w:val="10"/>
              <w:rPr>
                <w:szCs w:val="24"/>
              </w:rPr>
            </w:pPr>
            <w:r w:rsidRPr="001B799A">
              <w:rPr>
                <w:szCs w:val="24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1B799A" w:rsidRPr="001B799A" w:rsidRDefault="001B799A" w:rsidP="001B799A">
            <w:pPr>
              <w:pStyle w:val="10"/>
              <w:rPr>
                <w:szCs w:val="24"/>
              </w:rPr>
            </w:pPr>
            <w:r w:rsidRPr="001B799A">
              <w:rPr>
                <w:szCs w:val="24"/>
              </w:rPr>
              <w:t xml:space="preserve">- настройку и регулировку изделия; специфические </w:t>
            </w:r>
            <w:r w:rsidRPr="001B799A">
              <w:rPr>
                <w:szCs w:val="24"/>
              </w:rPr>
              <w:lastRenderedPageBreak/>
              <w:t>для данного изделия работы и т.п.;</w:t>
            </w:r>
          </w:p>
          <w:p w:rsidR="001B799A" w:rsidRPr="001B799A" w:rsidRDefault="001B799A" w:rsidP="001B799A">
            <w:pPr>
              <w:pStyle w:val="10"/>
              <w:rPr>
                <w:szCs w:val="24"/>
              </w:rPr>
            </w:pPr>
            <w:r w:rsidRPr="001B799A">
              <w:rPr>
                <w:szCs w:val="24"/>
              </w:rPr>
              <w:t>- чистку, смазку и при необходимости переборку основных механизмов и узлов;</w:t>
            </w:r>
          </w:p>
          <w:p w:rsidR="001B799A" w:rsidRPr="001B799A" w:rsidRDefault="001B799A" w:rsidP="001B799A">
            <w:pPr>
              <w:pStyle w:val="10"/>
              <w:rPr>
                <w:szCs w:val="24"/>
              </w:rPr>
            </w:pPr>
            <w:r w:rsidRPr="001B799A">
              <w:rPr>
                <w:szCs w:val="24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1B799A">
              <w:rPr>
                <w:szCs w:val="24"/>
              </w:rPr>
              <w:t>блочно</w:t>
            </w:r>
            <w:proofErr w:type="spellEnd"/>
            <w:r w:rsidRPr="001B799A">
              <w:rPr>
                <w:szCs w:val="24"/>
              </w:rPr>
              <w:t>-узловой разборкой);</w:t>
            </w:r>
          </w:p>
          <w:p w:rsidR="00BE0111" w:rsidRPr="00FA1344" w:rsidRDefault="001B799A" w:rsidP="001B799A">
            <w:pPr>
              <w:rPr>
                <w:sz w:val="20"/>
                <w:lang w:val="kk-KZ"/>
              </w:rPr>
            </w:pPr>
            <w:r w:rsidRPr="001B799A">
              <w:rPr>
                <w:sz w:val="20"/>
              </w:rPr>
              <w:t>- иные указанные в эксплуатационной документации операции, специфические для конкретного типа изделий</w:t>
            </w:r>
            <w:bookmarkEnd w:id="0"/>
          </w:p>
        </w:tc>
        <w:tc>
          <w:tcPr>
            <w:tcW w:w="708" w:type="dxa"/>
            <w:shd w:val="clear" w:color="auto" w:fill="auto"/>
            <w:vAlign w:val="center"/>
          </w:tcPr>
          <w:p w:rsidR="002072A0" w:rsidRPr="00BE0111" w:rsidRDefault="00BE0111" w:rsidP="006A7C5C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E0111">
              <w:rPr>
                <w:bCs/>
                <w:sz w:val="16"/>
                <w:szCs w:val="16"/>
                <w:lang w:val="kk-KZ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72A0" w:rsidRPr="00BE0111" w:rsidRDefault="00BE0111" w:rsidP="006A7C5C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E0111">
              <w:rPr>
                <w:bCs/>
                <w:sz w:val="16"/>
                <w:szCs w:val="16"/>
                <w:lang w:val="kk-KZ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72A0" w:rsidRPr="00BE0111" w:rsidRDefault="00BE0111" w:rsidP="006A7C5C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E0111">
              <w:rPr>
                <w:bCs/>
                <w:sz w:val="16"/>
                <w:szCs w:val="16"/>
                <w:lang w:val="kk-KZ"/>
              </w:rPr>
              <w:t>2 600 000</w:t>
            </w:r>
          </w:p>
        </w:tc>
        <w:tc>
          <w:tcPr>
            <w:tcW w:w="1134" w:type="dxa"/>
            <w:shd w:val="clear" w:color="auto" w:fill="auto"/>
          </w:tcPr>
          <w:p w:rsidR="002072A0" w:rsidRPr="00BE0111" w:rsidRDefault="002072A0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E0111" w:rsidRPr="00BE0111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  <w:r w:rsidRPr="00BE0111">
              <w:rPr>
                <w:sz w:val="16"/>
                <w:szCs w:val="16"/>
                <w:lang w:val="kk-KZ"/>
              </w:rPr>
              <w:t>520 000 000</w:t>
            </w:r>
          </w:p>
        </w:tc>
        <w:tc>
          <w:tcPr>
            <w:tcW w:w="993" w:type="dxa"/>
            <w:vAlign w:val="center"/>
          </w:tcPr>
          <w:p w:rsidR="002072A0" w:rsidRPr="00E0127E" w:rsidRDefault="002072A0" w:rsidP="006A7C5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072A0" w:rsidRPr="00E0127E" w:rsidRDefault="002072A0" w:rsidP="006A7C5C">
            <w:pPr>
              <w:jc w:val="center"/>
              <w:rPr>
                <w:sz w:val="16"/>
                <w:szCs w:val="16"/>
                <w:lang w:val="kk-KZ"/>
              </w:rPr>
            </w:pPr>
            <w:r w:rsidRPr="00E0127E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2072A0" w:rsidRPr="005D42E3" w:rsidRDefault="00BE0111" w:rsidP="006A7C5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До 25.12.2023 г.</w:t>
            </w:r>
          </w:p>
        </w:tc>
        <w:tc>
          <w:tcPr>
            <w:tcW w:w="851" w:type="dxa"/>
            <w:vAlign w:val="center"/>
          </w:tcPr>
          <w:p w:rsidR="002072A0" w:rsidRPr="005D42E3" w:rsidRDefault="002072A0" w:rsidP="006A7C5C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11" w:type="dxa"/>
            <w:vAlign w:val="center"/>
          </w:tcPr>
          <w:p w:rsidR="002072A0" w:rsidRPr="005D42E3" w:rsidRDefault="002072A0" w:rsidP="006A7C5C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2A0" w:rsidRPr="005D42E3" w:rsidRDefault="002072A0" w:rsidP="006A7C5C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A7C5C" w:rsidRPr="006A7C5C" w:rsidTr="006A7C5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743" w:type="dxa"/>
            <w:gridSpan w:val="12"/>
          </w:tcPr>
          <w:p w:rsidR="006A7C5C" w:rsidRPr="006A7C5C" w:rsidRDefault="006A7C5C" w:rsidP="006A7C5C">
            <w:pPr>
              <w:shd w:val="clear" w:color="auto" w:fill="FFFFFF"/>
              <w:ind w:left="709"/>
              <w:jc w:val="center"/>
              <w:rPr>
                <w:b/>
                <w:sz w:val="16"/>
                <w:szCs w:val="16"/>
                <w:lang w:val="kk-KZ"/>
              </w:rPr>
            </w:pPr>
            <w:r w:rsidRPr="006A7C5C">
              <w:rPr>
                <w:b/>
                <w:sz w:val="16"/>
                <w:szCs w:val="16"/>
                <w:lang w:val="kk-KZ"/>
              </w:rPr>
              <w:lastRenderedPageBreak/>
              <w:t>Жалпы сомасы:</w:t>
            </w:r>
          </w:p>
          <w:p w:rsidR="006A7C5C" w:rsidRDefault="006A7C5C" w:rsidP="006A7C5C">
            <w:pPr>
              <w:shd w:val="clear" w:color="auto" w:fill="FFFFFF"/>
              <w:ind w:left="709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6A7C5C" w:rsidRPr="006A7C5C" w:rsidRDefault="006A7C5C" w:rsidP="006A7C5C">
            <w:pPr>
              <w:shd w:val="clear" w:color="auto" w:fill="FFFFFF"/>
              <w:rPr>
                <w:b/>
                <w:sz w:val="16"/>
                <w:szCs w:val="16"/>
                <w:lang w:val="kk-KZ"/>
              </w:rPr>
            </w:pPr>
            <w:r w:rsidRPr="006A7C5C">
              <w:rPr>
                <w:b/>
                <w:sz w:val="16"/>
                <w:szCs w:val="16"/>
                <w:lang w:val="kk-KZ"/>
              </w:rPr>
              <w:t>520 000 000</w:t>
            </w:r>
          </w:p>
        </w:tc>
      </w:tr>
    </w:tbl>
    <w:p w:rsidR="0065446E" w:rsidRPr="004C39EC" w:rsidRDefault="006A7C5C" w:rsidP="0065446E">
      <w:pPr>
        <w:shd w:val="clear" w:color="auto" w:fill="FFFFFF"/>
        <w:jc w:val="both"/>
        <w:rPr>
          <w:sz w:val="16"/>
          <w:szCs w:val="16"/>
          <w:lang w:val="kk-KZ"/>
        </w:rPr>
      </w:pPr>
      <w:r w:rsidRPr="006A7C5C">
        <w:rPr>
          <w:sz w:val="16"/>
          <w:szCs w:val="16"/>
          <w:lang w:val="kk-KZ"/>
        </w:rPr>
        <w:t>Тендерлік</w:t>
      </w:r>
      <w:r>
        <w:rPr>
          <w:sz w:val="16"/>
          <w:szCs w:val="16"/>
          <w:lang w:val="kk-KZ"/>
        </w:rPr>
        <w:t xml:space="preserve"> </w:t>
      </w:r>
      <w:r w:rsidRPr="006A7C5C">
        <w:rPr>
          <w:sz w:val="16"/>
          <w:szCs w:val="16"/>
          <w:lang w:val="kk-KZ"/>
        </w:rPr>
        <w:t>құжаттама</w:t>
      </w:r>
      <w:r>
        <w:rPr>
          <w:sz w:val="16"/>
          <w:szCs w:val="16"/>
          <w:lang w:val="kk-KZ"/>
        </w:rPr>
        <w:t xml:space="preserve"> </w:t>
      </w:r>
      <w:r w:rsidRPr="006A7C5C">
        <w:rPr>
          <w:sz w:val="16"/>
          <w:szCs w:val="16"/>
          <w:lang w:val="kk-KZ"/>
        </w:rPr>
        <w:t>пакетін 202</w:t>
      </w:r>
      <w:r>
        <w:rPr>
          <w:sz w:val="16"/>
          <w:szCs w:val="16"/>
          <w:lang w:val="kk-KZ"/>
        </w:rPr>
        <w:t xml:space="preserve">3 жылдын 13 қарашасына  </w:t>
      </w:r>
      <w:r w:rsidRPr="004C39EC">
        <w:rPr>
          <w:sz w:val="16"/>
          <w:szCs w:val="16"/>
          <w:lang w:val="kk-KZ"/>
        </w:rPr>
        <w:t>дейінгі</w:t>
      </w:r>
      <w:r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мерзімде</w:t>
      </w:r>
      <w:r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Ақтөбе</w:t>
      </w:r>
      <w:r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қаласы, Пацаев</w:t>
      </w:r>
      <w:r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көшесі, 7 мекен</w:t>
      </w:r>
      <w:r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жайы</w:t>
      </w:r>
      <w:r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бойынша, сағат 9.00-ден 11.00-ге дейін (Ақтөбе</w:t>
      </w:r>
      <w:r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қаласы</w:t>
      </w:r>
      <w:r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уақыты</w:t>
      </w:r>
      <w:r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бойынша) немесе</w:t>
      </w:r>
      <w:r>
        <w:rPr>
          <w:sz w:val="16"/>
          <w:szCs w:val="16"/>
          <w:lang w:val="kk-KZ"/>
        </w:rPr>
        <w:t xml:space="preserve"> </w:t>
      </w:r>
      <w:r w:rsidR="0065446E" w:rsidRPr="004C39EC">
        <w:rPr>
          <w:sz w:val="16"/>
          <w:szCs w:val="16"/>
          <w:lang w:val="kk-KZ"/>
        </w:rPr>
        <w:t>электрондық</w:t>
      </w:r>
      <w:r w:rsidR="0008631A">
        <w:rPr>
          <w:sz w:val="16"/>
          <w:szCs w:val="16"/>
          <w:lang w:val="kk-KZ"/>
        </w:rPr>
        <w:t xml:space="preserve"> </w:t>
      </w:r>
      <w:r w:rsidR="0065446E" w:rsidRPr="004C39EC">
        <w:rPr>
          <w:sz w:val="16"/>
          <w:szCs w:val="16"/>
          <w:lang w:val="kk-KZ"/>
        </w:rPr>
        <w:t>пошта</w:t>
      </w:r>
      <w:r w:rsidR="0008631A">
        <w:rPr>
          <w:sz w:val="16"/>
          <w:szCs w:val="16"/>
          <w:lang w:val="kk-KZ"/>
        </w:rPr>
        <w:t xml:space="preserve"> </w:t>
      </w:r>
      <w:r w:rsidR="0065446E" w:rsidRPr="004C39EC">
        <w:rPr>
          <w:sz w:val="16"/>
          <w:szCs w:val="16"/>
          <w:lang w:val="kk-KZ"/>
        </w:rPr>
        <w:t>арқылы</w:t>
      </w:r>
      <w:r w:rsidR="0008631A">
        <w:rPr>
          <w:sz w:val="16"/>
          <w:szCs w:val="16"/>
          <w:lang w:val="kk-KZ"/>
        </w:rPr>
        <w:t xml:space="preserve"> </w:t>
      </w:r>
      <w:r w:rsidR="0065446E" w:rsidRPr="004C39EC">
        <w:rPr>
          <w:sz w:val="16"/>
          <w:szCs w:val="16"/>
          <w:lang w:val="kk-KZ"/>
        </w:rPr>
        <w:t>алуға</w:t>
      </w:r>
      <w:r w:rsidR="0008631A">
        <w:rPr>
          <w:sz w:val="16"/>
          <w:szCs w:val="16"/>
          <w:lang w:val="kk-KZ"/>
        </w:rPr>
        <w:t xml:space="preserve"> </w:t>
      </w:r>
      <w:r w:rsidR="0065446E" w:rsidRPr="004C39EC">
        <w:rPr>
          <w:sz w:val="16"/>
          <w:szCs w:val="16"/>
          <w:lang w:val="kk-KZ"/>
        </w:rPr>
        <w:t>болады 550400@inbox.ru.</w:t>
      </w:r>
    </w:p>
    <w:p w:rsidR="0065446E" w:rsidRPr="00EE7650" w:rsidRDefault="0065446E" w:rsidP="0065446E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4C39EC">
        <w:rPr>
          <w:sz w:val="16"/>
          <w:szCs w:val="16"/>
          <w:lang w:val="kk-KZ"/>
        </w:rPr>
        <w:tab/>
      </w:r>
      <w:r w:rsidR="0088281C">
        <w:rPr>
          <w:color w:val="FF0000"/>
          <w:sz w:val="16"/>
          <w:szCs w:val="16"/>
          <w:lang w:val="kk-KZ"/>
        </w:rPr>
        <w:t xml:space="preserve">2023 жылдын </w:t>
      </w:r>
      <w:r w:rsidR="00334DA4">
        <w:rPr>
          <w:color w:val="FF0000"/>
          <w:sz w:val="16"/>
          <w:szCs w:val="16"/>
          <w:lang w:val="kk-KZ"/>
        </w:rPr>
        <w:t>16 қарашаға</w:t>
      </w:r>
      <w:r w:rsidRPr="00C17F5E">
        <w:rPr>
          <w:color w:val="FF0000"/>
          <w:sz w:val="16"/>
          <w:szCs w:val="16"/>
          <w:lang w:val="kk-KZ"/>
        </w:rPr>
        <w:t xml:space="preserve"> сағат 09.00-ге дейінгі мерзімде</w:t>
      </w:r>
      <w:r w:rsidR="0008631A">
        <w:rPr>
          <w:color w:val="FF0000"/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тендерге қатысуға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 өтінімдерді әлеуетті өнім берушілер не олардың уәкілетті өкілдері сатып алуды ұйымдастырушыға қолма – қол немесе тапсырысты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почта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байланысын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 пайдалана отырып Ақтөбе қаласы, Пацаев көшесі, 7, әкімшілік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корпус, №1 кабинет, тендерге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қатысуға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 өтінімдерді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қабылдауға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 және тіркеуге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жауапты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тұлға- А.М. Әлжанова, Мемлекеттік сатып алу жөніндегі менеджер</w:t>
      </w:r>
      <w:r w:rsidR="00F9103F">
        <w:rPr>
          <w:sz w:val="16"/>
          <w:szCs w:val="16"/>
          <w:lang w:val="kk-KZ"/>
        </w:rPr>
        <w:t>і</w:t>
      </w:r>
      <w:r w:rsidRPr="00EE7650">
        <w:rPr>
          <w:sz w:val="16"/>
          <w:szCs w:val="16"/>
          <w:lang w:val="kk-KZ"/>
        </w:rPr>
        <w:t>.</w:t>
      </w:r>
    </w:p>
    <w:p w:rsidR="0065446E" w:rsidRPr="00EE7650" w:rsidRDefault="0065446E" w:rsidP="0065446E">
      <w:pPr>
        <w:tabs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EE7650">
        <w:rPr>
          <w:sz w:val="16"/>
          <w:szCs w:val="16"/>
          <w:lang w:val="kk-KZ"/>
        </w:rPr>
        <w:tab/>
        <w:t>Тендерге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қатысуға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өтінімдері бар конверттерді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ашуды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 xml:space="preserve">тендерлік комиссия </w:t>
      </w:r>
      <w:r w:rsidR="00E86D3E">
        <w:rPr>
          <w:sz w:val="16"/>
          <w:szCs w:val="16"/>
          <w:lang w:val="kk-KZ"/>
        </w:rPr>
        <w:t>2</w:t>
      </w:r>
      <w:r w:rsidR="000F6E76">
        <w:rPr>
          <w:sz w:val="16"/>
          <w:szCs w:val="16"/>
          <w:lang w:val="kk-KZ"/>
        </w:rPr>
        <w:t xml:space="preserve">023 жылдын  </w:t>
      </w:r>
      <w:r w:rsidR="00334DA4">
        <w:rPr>
          <w:sz w:val="16"/>
          <w:szCs w:val="16"/>
          <w:lang w:val="kk-KZ"/>
        </w:rPr>
        <w:t>16 қарашасын</w:t>
      </w:r>
      <w:r w:rsidR="00E86D3E">
        <w:rPr>
          <w:sz w:val="16"/>
          <w:szCs w:val="16"/>
          <w:lang w:val="kk-KZ"/>
        </w:rPr>
        <w:t xml:space="preserve">да </w:t>
      </w:r>
      <w:r>
        <w:rPr>
          <w:sz w:val="16"/>
          <w:szCs w:val="16"/>
          <w:lang w:val="kk-KZ"/>
        </w:rPr>
        <w:t>сағат 11-00</w:t>
      </w:r>
      <w:r w:rsidRPr="00EE7650">
        <w:rPr>
          <w:sz w:val="16"/>
          <w:szCs w:val="16"/>
          <w:lang w:val="kk-KZ"/>
        </w:rPr>
        <w:t xml:space="preserve"> минутта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жүргізеді</w:t>
      </w:r>
      <w:r w:rsidR="00A77EA2">
        <w:rPr>
          <w:sz w:val="16"/>
          <w:szCs w:val="16"/>
          <w:lang w:val="kk-KZ"/>
        </w:rPr>
        <w:t xml:space="preserve">. </w:t>
      </w:r>
      <w:r w:rsidRPr="00EE7650">
        <w:rPr>
          <w:sz w:val="16"/>
          <w:szCs w:val="16"/>
          <w:lang w:val="kk-KZ"/>
        </w:rPr>
        <w:t>Мекен-жайы: Ақтөбеқаласы, Пацаев</w:t>
      </w:r>
      <w:r w:rsidR="00A77EA2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көшесі, 7, "Ақтөбе</w:t>
      </w:r>
      <w:r w:rsidR="00A77EA2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облысының Денсаулық сақтау басқармасы" ММ ШЖҚ "</w:t>
      </w:r>
      <w:r w:rsidRPr="00C41E70">
        <w:rPr>
          <w:sz w:val="16"/>
          <w:szCs w:val="16"/>
          <w:lang w:val="kk-KZ"/>
        </w:rPr>
        <w:t xml:space="preserve"> Көпсалалы облыстық ауруханасы</w:t>
      </w:r>
      <w:r w:rsidRPr="00EE7650">
        <w:rPr>
          <w:sz w:val="16"/>
          <w:szCs w:val="16"/>
          <w:lang w:val="kk-KZ"/>
        </w:rPr>
        <w:t xml:space="preserve"> " МКК, әкімшілік корпус, бас дәрігер</w:t>
      </w:r>
      <w:r w:rsidR="00A77EA2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кабинеті</w:t>
      </w:r>
      <w:r w:rsidR="00A77EA2">
        <w:rPr>
          <w:sz w:val="16"/>
          <w:szCs w:val="16"/>
          <w:lang w:val="kk-KZ"/>
        </w:rPr>
        <w:t>.</w:t>
      </w:r>
      <w:r w:rsidRPr="00EE7650">
        <w:rPr>
          <w:rFonts w:ascii="Arial" w:hAnsi="Arial" w:cs="Arial"/>
          <w:color w:val="FFFFFF"/>
          <w:sz w:val="20"/>
          <w:szCs w:val="20"/>
          <w:lang w:val="kk-KZ"/>
        </w:rPr>
        <w:t>.</w:t>
      </w:r>
    </w:p>
    <w:p w:rsidR="00380018" w:rsidRPr="00EE7650" w:rsidRDefault="00380018" w:rsidP="0065446E">
      <w:pPr>
        <w:shd w:val="clear" w:color="auto" w:fill="FFFFFF"/>
        <w:jc w:val="both"/>
        <w:rPr>
          <w:sz w:val="16"/>
          <w:szCs w:val="16"/>
          <w:lang w:val="kk-KZ"/>
        </w:rPr>
      </w:pPr>
    </w:p>
    <w:sectPr w:rsidR="00380018" w:rsidRPr="00EE7650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BC" w:rsidRDefault="00C34FBC" w:rsidP="00334DA4">
      <w:r>
        <w:separator/>
      </w:r>
    </w:p>
  </w:endnote>
  <w:endnote w:type="continuationSeparator" w:id="0">
    <w:p w:rsidR="00C34FBC" w:rsidRDefault="00C34FBC" w:rsidP="0033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BC" w:rsidRDefault="00C34FBC" w:rsidP="00334DA4">
      <w:r>
        <w:separator/>
      </w:r>
    </w:p>
  </w:footnote>
  <w:footnote w:type="continuationSeparator" w:id="0">
    <w:p w:rsidR="00C34FBC" w:rsidRDefault="00C34FBC" w:rsidP="0033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59B"/>
    <w:multiLevelType w:val="hybridMultilevel"/>
    <w:tmpl w:val="875A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30C2"/>
    <w:multiLevelType w:val="hybridMultilevel"/>
    <w:tmpl w:val="28B04720"/>
    <w:lvl w:ilvl="0" w:tplc="8EC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3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DE6"/>
    <w:rsid w:val="00001F85"/>
    <w:rsid w:val="000023CB"/>
    <w:rsid w:val="00012D38"/>
    <w:rsid w:val="000279D3"/>
    <w:rsid w:val="00036A35"/>
    <w:rsid w:val="00051A33"/>
    <w:rsid w:val="000663AD"/>
    <w:rsid w:val="000738CB"/>
    <w:rsid w:val="00081366"/>
    <w:rsid w:val="0008631A"/>
    <w:rsid w:val="000A1412"/>
    <w:rsid w:val="000A5DC6"/>
    <w:rsid w:val="000B1E73"/>
    <w:rsid w:val="000B5A93"/>
    <w:rsid w:val="000D2AA0"/>
    <w:rsid w:val="000D5EE1"/>
    <w:rsid w:val="000D6731"/>
    <w:rsid w:val="000D6B05"/>
    <w:rsid w:val="000E2337"/>
    <w:rsid w:val="000E3789"/>
    <w:rsid w:val="000E4A39"/>
    <w:rsid w:val="000F6E76"/>
    <w:rsid w:val="000F7726"/>
    <w:rsid w:val="00100C4A"/>
    <w:rsid w:val="00106893"/>
    <w:rsid w:val="001175F2"/>
    <w:rsid w:val="0012279C"/>
    <w:rsid w:val="00125716"/>
    <w:rsid w:val="001325AB"/>
    <w:rsid w:val="00141281"/>
    <w:rsid w:val="001515D6"/>
    <w:rsid w:val="00155816"/>
    <w:rsid w:val="001642F3"/>
    <w:rsid w:val="00165BB8"/>
    <w:rsid w:val="001702AB"/>
    <w:rsid w:val="00170B86"/>
    <w:rsid w:val="0017296A"/>
    <w:rsid w:val="00193A95"/>
    <w:rsid w:val="001A3292"/>
    <w:rsid w:val="001B17CB"/>
    <w:rsid w:val="001B28A1"/>
    <w:rsid w:val="001B6D6A"/>
    <w:rsid w:val="001B799A"/>
    <w:rsid w:val="001C2FEB"/>
    <w:rsid w:val="001C63CC"/>
    <w:rsid w:val="001C7D21"/>
    <w:rsid w:val="001D02DB"/>
    <w:rsid w:val="001D10EE"/>
    <w:rsid w:val="001D6250"/>
    <w:rsid w:val="001E22CE"/>
    <w:rsid w:val="00200DC7"/>
    <w:rsid w:val="002072A0"/>
    <w:rsid w:val="00225698"/>
    <w:rsid w:val="002262D9"/>
    <w:rsid w:val="00243E69"/>
    <w:rsid w:val="0024719F"/>
    <w:rsid w:val="00247702"/>
    <w:rsid w:val="0025762C"/>
    <w:rsid w:val="00263B53"/>
    <w:rsid w:val="00266F6A"/>
    <w:rsid w:val="0027575C"/>
    <w:rsid w:val="002807B3"/>
    <w:rsid w:val="002826B2"/>
    <w:rsid w:val="0028505E"/>
    <w:rsid w:val="00285120"/>
    <w:rsid w:val="0029532A"/>
    <w:rsid w:val="00297B70"/>
    <w:rsid w:val="002A24D7"/>
    <w:rsid w:val="002B2AC0"/>
    <w:rsid w:val="002B75BF"/>
    <w:rsid w:val="002B7C98"/>
    <w:rsid w:val="002C302B"/>
    <w:rsid w:val="002D1636"/>
    <w:rsid w:val="002D4C3A"/>
    <w:rsid w:val="002F3919"/>
    <w:rsid w:val="00300B0F"/>
    <w:rsid w:val="00302010"/>
    <w:rsid w:val="00313A8E"/>
    <w:rsid w:val="00314C93"/>
    <w:rsid w:val="003210A5"/>
    <w:rsid w:val="003307C3"/>
    <w:rsid w:val="00331C90"/>
    <w:rsid w:val="00334DA4"/>
    <w:rsid w:val="00337354"/>
    <w:rsid w:val="0034128C"/>
    <w:rsid w:val="00342757"/>
    <w:rsid w:val="003439B5"/>
    <w:rsid w:val="003548E9"/>
    <w:rsid w:val="00357066"/>
    <w:rsid w:val="00360CE8"/>
    <w:rsid w:val="00364405"/>
    <w:rsid w:val="00366A83"/>
    <w:rsid w:val="00380018"/>
    <w:rsid w:val="003832BC"/>
    <w:rsid w:val="003839E6"/>
    <w:rsid w:val="003A5255"/>
    <w:rsid w:val="003B4142"/>
    <w:rsid w:val="003B48F5"/>
    <w:rsid w:val="003C77F5"/>
    <w:rsid w:val="003C7D03"/>
    <w:rsid w:val="003D0E3C"/>
    <w:rsid w:val="003E6D05"/>
    <w:rsid w:val="003F41E9"/>
    <w:rsid w:val="00412A82"/>
    <w:rsid w:val="00415984"/>
    <w:rsid w:val="0042636E"/>
    <w:rsid w:val="00440726"/>
    <w:rsid w:val="0045645A"/>
    <w:rsid w:val="00462DC9"/>
    <w:rsid w:val="004719CF"/>
    <w:rsid w:val="00471F95"/>
    <w:rsid w:val="004A5605"/>
    <w:rsid w:val="004B5991"/>
    <w:rsid w:val="004B5A5F"/>
    <w:rsid w:val="004B7071"/>
    <w:rsid w:val="004C39EC"/>
    <w:rsid w:val="004D7D54"/>
    <w:rsid w:val="004F1B22"/>
    <w:rsid w:val="004F2214"/>
    <w:rsid w:val="004F2BFE"/>
    <w:rsid w:val="004F3E8E"/>
    <w:rsid w:val="0050101A"/>
    <w:rsid w:val="00511C0B"/>
    <w:rsid w:val="00511CFF"/>
    <w:rsid w:val="00521576"/>
    <w:rsid w:val="00523D63"/>
    <w:rsid w:val="00526ECC"/>
    <w:rsid w:val="00550C0F"/>
    <w:rsid w:val="00561714"/>
    <w:rsid w:val="0056394D"/>
    <w:rsid w:val="00566B53"/>
    <w:rsid w:val="005820B4"/>
    <w:rsid w:val="00590A06"/>
    <w:rsid w:val="005968CE"/>
    <w:rsid w:val="005A1242"/>
    <w:rsid w:val="005B28A5"/>
    <w:rsid w:val="005B4AF7"/>
    <w:rsid w:val="005C5EC5"/>
    <w:rsid w:val="005D408C"/>
    <w:rsid w:val="005D42E3"/>
    <w:rsid w:val="005E6AFA"/>
    <w:rsid w:val="005E7513"/>
    <w:rsid w:val="005F2154"/>
    <w:rsid w:val="005F2A66"/>
    <w:rsid w:val="005F3B1B"/>
    <w:rsid w:val="005F72E4"/>
    <w:rsid w:val="005F7E19"/>
    <w:rsid w:val="006059AD"/>
    <w:rsid w:val="00607099"/>
    <w:rsid w:val="00610E73"/>
    <w:rsid w:val="00621E90"/>
    <w:rsid w:val="006349FB"/>
    <w:rsid w:val="0064130D"/>
    <w:rsid w:val="006427F6"/>
    <w:rsid w:val="00645BB7"/>
    <w:rsid w:val="0065446E"/>
    <w:rsid w:val="006632DA"/>
    <w:rsid w:val="006747CE"/>
    <w:rsid w:val="0067604F"/>
    <w:rsid w:val="0067607A"/>
    <w:rsid w:val="00682AA9"/>
    <w:rsid w:val="00692563"/>
    <w:rsid w:val="006A7C5C"/>
    <w:rsid w:val="006D2C31"/>
    <w:rsid w:val="006D3174"/>
    <w:rsid w:val="006D5919"/>
    <w:rsid w:val="006E504D"/>
    <w:rsid w:val="006F0F69"/>
    <w:rsid w:val="00701CD5"/>
    <w:rsid w:val="0071769D"/>
    <w:rsid w:val="00745213"/>
    <w:rsid w:val="00747D89"/>
    <w:rsid w:val="007548DC"/>
    <w:rsid w:val="007566F9"/>
    <w:rsid w:val="00757D37"/>
    <w:rsid w:val="00767921"/>
    <w:rsid w:val="00767F7B"/>
    <w:rsid w:val="00777EA0"/>
    <w:rsid w:val="00783325"/>
    <w:rsid w:val="007844BE"/>
    <w:rsid w:val="00791E4E"/>
    <w:rsid w:val="007A760F"/>
    <w:rsid w:val="007B5B6C"/>
    <w:rsid w:val="007C28E2"/>
    <w:rsid w:val="007D72DB"/>
    <w:rsid w:val="008009F8"/>
    <w:rsid w:val="00810383"/>
    <w:rsid w:val="0081366F"/>
    <w:rsid w:val="00821425"/>
    <w:rsid w:val="00821E51"/>
    <w:rsid w:val="008220D2"/>
    <w:rsid w:val="008340F9"/>
    <w:rsid w:val="008447A5"/>
    <w:rsid w:val="00847B26"/>
    <w:rsid w:val="008522C9"/>
    <w:rsid w:val="00853A4A"/>
    <w:rsid w:val="00861A29"/>
    <w:rsid w:val="00863A92"/>
    <w:rsid w:val="00866F68"/>
    <w:rsid w:val="008717B2"/>
    <w:rsid w:val="00877389"/>
    <w:rsid w:val="0088281C"/>
    <w:rsid w:val="00884774"/>
    <w:rsid w:val="00894554"/>
    <w:rsid w:val="008A551E"/>
    <w:rsid w:val="008B471E"/>
    <w:rsid w:val="008F4CCC"/>
    <w:rsid w:val="00900C02"/>
    <w:rsid w:val="00930D72"/>
    <w:rsid w:val="0093268C"/>
    <w:rsid w:val="0093441C"/>
    <w:rsid w:val="00943844"/>
    <w:rsid w:val="0094555D"/>
    <w:rsid w:val="009541FA"/>
    <w:rsid w:val="00957056"/>
    <w:rsid w:val="009650B6"/>
    <w:rsid w:val="0098133C"/>
    <w:rsid w:val="009935AC"/>
    <w:rsid w:val="009A1776"/>
    <w:rsid w:val="009A2A57"/>
    <w:rsid w:val="009A6400"/>
    <w:rsid w:val="009D0F05"/>
    <w:rsid w:val="009D3F1E"/>
    <w:rsid w:val="009E4136"/>
    <w:rsid w:val="009E76F5"/>
    <w:rsid w:val="009F1C18"/>
    <w:rsid w:val="009F1CB4"/>
    <w:rsid w:val="009F2244"/>
    <w:rsid w:val="00A01DE8"/>
    <w:rsid w:val="00A06699"/>
    <w:rsid w:val="00A14C70"/>
    <w:rsid w:val="00A16F6E"/>
    <w:rsid w:val="00A252C5"/>
    <w:rsid w:val="00A3628B"/>
    <w:rsid w:val="00A44FFD"/>
    <w:rsid w:val="00A50340"/>
    <w:rsid w:val="00A532A7"/>
    <w:rsid w:val="00A64CF0"/>
    <w:rsid w:val="00A65D03"/>
    <w:rsid w:val="00A65F45"/>
    <w:rsid w:val="00A669A5"/>
    <w:rsid w:val="00A7340C"/>
    <w:rsid w:val="00A73B37"/>
    <w:rsid w:val="00A77EA2"/>
    <w:rsid w:val="00A862F5"/>
    <w:rsid w:val="00A90205"/>
    <w:rsid w:val="00A91CA4"/>
    <w:rsid w:val="00A9439D"/>
    <w:rsid w:val="00A94E04"/>
    <w:rsid w:val="00A96878"/>
    <w:rsid w:val="00A971CB"/>
    <w:rsid w:val="00AB380A"/>
    <w:rsid w:val="00AB44BD"/>
    <w:rsid w:val="00AB51E8"/>
    <w:rsid w:val="00AB6F0F"/>
    <w:rsid w:val="00AC0258"/>
    <w:rsid w:val="00AC458D"/>
    <w:rsid w:val="00AD1962"/>
    <w:rsid w:val="00AD1D7D"/>
    <w:rsid w:val="00AD4E15"/>
    <w:rsid w:val="00AD67E4"/>
    <w:rsid w:val="00AF0656"/>
    <w:rsid w:val="00AF3354"/>
    <w:rsid w:val="00AF335A"/>
    <w:rsid w:val="00AF405F"/>
    <w:rsid w:val="00AF79E5"/>
    <w:rsid w:val="00B015EB"/>
    <w:rsid w:val="00B04615"/>
    <w:rsid w:val="00B1206A"/>
    <w:rsid w:val="00B25630"/>
    <w:rsid w:val="00B417EB"/>
    <w:rsid w:val="00B43FBB"/>
    <w:rsid w:val="00B7576E"/>
    <w:rsid w:val="00B8641B"/>
    <w:rsid w:val="00B9000F"/>
    <w:rsid w:val="00B93773"/>
    <w:rsid w:val="00B95169"/>
    <w:rsid w:val="00BA4340"/>
    <w:rsid w:val="00BB14A9"/>
    <w:rsid w:val="00BB4FF8"/>
    <w:rsid w:val="00BB5FC9"/>
    <w:rsid w:val="00BC0797"/>
    <w:rsid w:val="00BC6E27"/>
    <w:rsid w:val="00BD3BAA"/>
    <w:rsid w:val="00BE0111"/>
    <w:rsid w:val="00BE2FFE"/>
    <w:rsid w:val="00BE4CD4"/>
    <w:rsid w:val="00C1318A"/>
    <w:rsid w:val="00C329BB"/>
    <w:rsid w:val="00C3324A"/>
    <w:rsid w:val="00C34FBC"/>
    <w:rsid w:val="00C41E70"/>
    <w:rsid w:val="00C50821"/>
    <w:rsid w:val="00C753BA"/>
    <w:rsid w:val="00C91BA4"/>
    <w:rsid w:val="00C95F16"/>
    <w:rsid w:val="00C96140"/>
    <w:rsid w:val="00CA706B"/>
    <w:rsid w:val="00CB5FC5"/>
    <w:rsid w:val="00CC23BB"/>
    <w:rsid w:val="00CC2CF5"/>
    <w:rsid w:val="00CF1096"/>
    <w:rsid w:val="00D03F77"/>
    <w:rsid w:val="00D073A8"/>
    <w:rsid w:val="00D12277"/>
    <w:rsid w:val="00D137B6"/>
    <w:rsid w:val="00D21514"/>
    <w:rsid w:val="00D26EEB"/>
    <w:rsid w:val="00D33047"/>
    <w:rsid w:val="00D35225"/>
    <w:rsid w:val="00D3548D"/>
    <w:rsid w:val="00D406CC"/>
    <w:rsid w:val="00D60118"/>
    <w:rsid w:val="00D92660"/>
    <w:rsid w:val="00DA7E0B"/>
    <w:rsid w:val="00DC1419"/>
    <w:rsid w:val="00DC54E6"/>
    <w:rsid w:val="00DD7987"/>
    <w:rsid w:val="00DE2858"/>
    <w:rsid w:val="00DE36AC"/>
    <w:rsid w:val="00DE5A51"/>
    <w:rsid w:val="00DE77F2"/>
    <w:rsid w:val="00DF0754"/>
    <w:rsid w:val="00DF19E9"/>
    <w:rsid w:val="00DF5352"/>
    <w:rsid w:val="00E0127E"/>
    <w:rsid w:val="00E03AB2"/>
    <w:rsid w:val="00E132A6"/>
    <w:rsid w:val="00E15833"/>
    <w:rsid w:val="00E257F4"/>
    <w:rsid w:val="00E27135"/>
    <w:rsid w:val="00E544B3"/>
    <w:rsid w:val="00E568EB"/>
    <w:rsid w:val="00E86D3E"/>
    <w:rsid w:val="00E9355F"/>
    <w:rsid w:val="00E96696"/>
    <w:rsid w:val="00EA0017"/>
    <w:rsid w:val="00EA193B"/>
    <w:rsid w:val="00EA73FB"/>
    <w:rsid w:val="00EB3CC8"/>
    <w:rsid w:val="00EC2CD1"/>
    <w:rsid w:val="00EC4812"/>
    <w:rsid w:val="00ED1D08"/>
    <w:rsid w:val="00ED3720"/>
    <w:rsid w:val="00EE2DDD"/>
    <w:rsid w:val="00EE7650"/>
    <w:rsid w:val="00EF18F7"/>
    <w:rsid w:val="00EF38DB"/>
    <w:rsid w:val="00F0375E"/>
    <w:rsid w:val="00F038EB"/>
    <w:rsid w:val="00F10B5D"/>
    <w:rsid w:val="00F15695"/>
    <w:rsid w:val="00F471B8"/>
    <w:rsid w:val="00F56D3A"/>
    <w:rsid w:val="00F60948"/>
    <w:rsid w:val="00F60FFA"/>
    <w:rsid w:val="00F82DE6"/>
    <w:rsid w:val="00F83293"/>
    <w:rsid w:val="00F9103F"/>
    <w:rsid w:val="00FA02EA"/>
    <w:rsid w:val="00FA1344"/>
    <w:rsid w:val="00FB3543"/>
    <w:rsid w:val="00FB36CA"/>
    <w:rsid w:val="00FB757E"/>
    <w:rsid w:val="00FC104B"/>
    <w:rsid w:val="00FC5E2C"/>
    <w:rsid w:val="00FE56C2"/>
    <w:rsid w:val="00FF5CB9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5D42E3"/>
    <w:rPr>
      <w:rFonts w:eastAsia="Times New Roman" w:cs="Times New Roman"/>
      <w:color w:val="000000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34D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4DA4"/>
    <w:rPr>
      <w:rFonts w:eastAsia="Times New Roman" w:cs="Times New Roman"/>
      <w:color w:val="00000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34D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4DA4"/>
    <w:rPr>
      <w:rFonts w:eastAsia="Times New Roman" w:cs="Times New Roman"/>
      <w:color w:val="000000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072A0"/>
    <w:rPr>
      <w:rFonts w:eastAsia="Times New Roman" w:cs="Times New Roman"/>
      <w:color w:val="000000"/>
      <w:szCs w:val="24"/>
      <w:lang w:eastAsia="ru-RU"/>
    </w:rPr>
  </w:style>
  <w:style w:type="character" w:customStyle="1" w:styleId="2">
    <w:name w:val="Стиль2 Знак"/>
    <w:link w:val="20"/>
    <w:rsid w:val="00BE0111"/>
    <w:rPr>
      <w:rFonts w:cs="Calibri"/>
      <w:szCs w:val="24"/>
    </w:rPr>
  </w:style>
  <w:style w:type="paragraph" w:customStyle="1" w:styleId="20">
    <w:name w:val="Стиль2"/>
    <w:basedOn w:val="a"/>
    <w:link w:val="2"/>
    <w:qFormat/>
    <w:rsid w:val="00BE0111"/>
    <w:pPr>
      <w:jc w:val="both"/>
    </w:pPr>
    <w:rPr>
      <w:rFonts w:eastAsiaTheme="minorHAnsi" w:cs="Calibri"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BE0111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character" w:customStyle="1" w:styleId="1">
    <w:name w:val="Стиль1 Знак"/>
    <w:link w:val="10"/>
    <w:rsid w:val="001B799A"/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Стиль1"/>
    <w:basedOn w:val="a"/>
    <w:link w:val="1"/>
    <w:qFormat/>
    <w:rsid w:val="001B799A"/>
    <w:pPr>
      <w:jc w:val="both"/>
    </w:pPr>
    <w:rPr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70B7-3818-4C25-A37C-2419C7A1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35</cp:revision>
  <cp:lastPrinted>2023-10-27T07:04:00Z</cp:lastPrinted>
  <dcterms:created xsi:type="dcterms:W3CDTF">2023-02-01T06:25:00Z</dcterms:created>
  <dcterms:modified xsi:type="dcterms:W3CDTF">2023-10-27T07:16:00Z</dcterms:modified>
</cp:coreProperties>
</file>