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6B79E0">
        <w:rPr>
          <w:b/>
          <w:color w:val="auto"/>
          <w:sz w:val="16"/>
          <w:szCs w:val="16"/>
          <w:lang w:val="kk-KZ"/>
        </w:rPr>
        <w:t>29</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медициналық </w:t>
      </w:r>
      <w:r w:rsidR="0090446D">
        <w:rPr>
          <w:b/>
          <w:color w:val="auto"/>
          <w:sz w:val="20"/>
          <w:szCs w:val="20"/>
          <w:lang w:val="kk-KZ"/>
        </w:rPr>
        <w:t>бұйымдарды</w:t>
      </w:r>
      <w:r w:rsidR="001E6408">
        <w:rPr>
          <w:b/>
          <w:color w:val="auto"/>
          <w:sz w:val="20"/>
          <w:szCs w:val="20"/>
          <w:lang w:val="kk-KZ"/>
        </w:rPr>
        <w:t xml:space="preserve"> сатып </w:t>
      </w:r>
      <w:r w:rsidRPr="006A57CF">
        <w:rPr>
          <w:b/>
          <w:color w:val="auto"/>
          <w:sz w:val="20"/>
          <w:szCs w:val="20"/>
          <w:lang w:val="kk-KZ"/>
        </w:rPr>
        <w:t xml:space="preserve"> </w:t>
      </w:r>
      <w:r>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6B79E0">
        <w:rPr>
          <w:color w:val="auto"/>
          <w:sz w:val="16"/>
          <w:szCs w:val="16"/>
          <w:lang w:val="kk-KZ"/>
        </w:rPr>
        <w:t>14</w:t>
      </w:r>
      <w:r w:rsidR="002B6D24">
        <w:rPr>
          <w:color w:val="auto"/>
          <w:sz w:val="16"/>
          <w:szCs w:val="16"/>
          <w:lang w:val="kk-KZ"/>
        </w:rPr>
        <w:t>.03</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1843"/>
        <w:gridCol w:w="3118"/>
        <w:gridCol w:w="851"/>
        <w:gridCol w:w="709"/>
        <w:gridCol w:w="1134"/>
        <w:gridCol w:w="1275"/>
        <w:gridCol w:w="1134"/>
        <w:gridCol w:w="851"/>
        <w:gridCol w:w="1417"/>
        <w:gridCol w:w="993"/>
        <w:gridCol w:w="1275"/>
      </w:tblGrid>
      <w:tr w:rsidR="000263E2" w:rsidRPr="006B79E0" w:rsidTr="006B79E0">
        <w:trPr>
          <w:trHeight w:val="587"/>
        </w:trPr>
        <w:tc>
          <w:tcPr>
            <w:tcW w:w="567" w:type="dxa"/>
            <w:shd w:val="clear" w:color="auto" w:fill="auto"/>
            <w:vAlign w:val="center"/>
          </w:tcPr>
          <w:p w:rsidR="00AF1E2F" w:rsidRPr="003408AC" w:rsidRDefault="00AF1E2F" w:rsidP="00F1051F">
            <w:pPr>
              <w:jc w:val="center"/>
              <w:rPr>
                <w:b/>
                <w:bCs/>
                <w:sz w:val="14"/>
                <w:szCs w:val="14"/>
              </w:rPr>
            </w:pPr>
            <w:r w:rsidRPr="003408AC">
              <w:rPr>
                <w:b/>
                <w:bCs/>
                <w:sz w:val="14"/>
                <w:szCs w:val="14"/>
              </w:rPr>
              <w:t>№ лота</w:t>
            </w:r>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843"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Тауардың атауы</w:t>
            </w:r>
          </w:p>
        </w:tc>
        <w:tc>
          <w:tcPr>
            <w:tcW w:w="3118" w:type="dxa"/>
          </w:tcPr>
          <w:p w:rsidR="00AF1E2F" w:rsidRPr="003408AC" w:rsidRDefault="00AF1E2F" w:rsidP="00F1051F">
            <w:pPr>
              <w:jc w:val="center"/>
              <w:rPr>
                <w:b/>
                <w:bCs/>
                <w:sz w:val="14"/>
                <w:szCs w:val="14"/>
              </w:rPr>
            </w:pPr>
          </w:p>
          <w:p w:rsidR="00AF1E2F" w:rsidRPr="003408AC" w:rsidRDefault="00AF1E2F" w:rsidP="00F1051F">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Өлшем бірлігі</w:t>
            </w:r>
          </w:p>
        </w:tc>
        <w:tc>
          <w:tcPr>
            <w:tcW w:w="709"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саны</w:t>
            </w:r>
          </w:p>
        </w:tc>
        <w:tc>
          <w:tcPr>
            <w:tcW w:w="1134"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275"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134" w:type="dxa"/>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өлшемітөлем %</w:t>
            </w:r>
          </w:p>
        </w:tc>
        <w:tc>
          <w:tcPr>
            <w:tcW w:w="1417" w:type="dxa"/>
            <w:vAlign w:val="center"/>
          </w:tcPr>
          <w:p w:rsidR="00AF1E2F" w:rsidRPr="003408AC" w:rsidRDefault="00AF1E2F" w:rsidP="00F1051F">
            <w:pPr>
              <w:jc w:val="center"/>
              <w:rPr>
                <w:b/>
                <w:bCs/>
                <w:sz w:val="14"/>
                <w:szCs w:val="14"/>
                <w:lang w:val="kk-KZ"/>
              </w:rPr>
            </w:pPr>
            <w:r w:rsidRPr="003408AC">
              <w:rPr>
                <w:b/>
                <w:bCs/>
                <w:sz w:val="14"/>
                <w:szCs w:val="14"/>
                <w:lang w:val="kk-KZ"/>
              </w:rPr>
              <w:t>Төлем</w:t>
            </w:r>
          </w:p>
        </w:tc>
        <w:tc>
          <w:tcPr>
            <w:tcW w:w="993"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 xml:space="preserve">Бағасы </w:t>
            </w:r>
          </w:p>
        </w:tc>
        <w:tc>
          <w:tcPr>
            <w:tcW w:w="1275" w:type="dxa"/>
          </w:tcPr>
          <w:p w:rsidR="00AF1E2F" w:rsidRPr="003408AC" w:rsidRDefault="004B6C4C" w:rsidP="00F1051F">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6B79E0" w:rsidRPr="00846CF5" w:rsidTr="006B79E0">
        <w:trPr>
          <w:trHeight w:val="279"/>
        </w:trPr>
        <w:tc>
          <w:tcPr>
            <w:tcW w:w="567" w:type="dxa"/>
            <w:shd w:val="clear" w:color="auto" w:fill="auto"/>
            <w:vAlign w:val="center"/>
          </w:tcPr>
          <w:p w:rsidR="006B79E0" w:rsidRPr="00CB35A1" w:rsidRDefault="006B79E0" w:rsidP="00612132">
            <w:pPr>
              <w:jc w:val="center"/>
              <w:rPr>
                <w:sz w:val="16"/>
                <w:szCs w:val="16"/>
              </w:rPr>
            </w:pPr>
            <w:r w:rsidRPr="00CB35A1">
              <w:rPr>
                <w:sz w:val="16"/>
                <w:szCs w:val="16"/>
              </w:rPr>
              <w:t>1</w:t>
            </w:r>
          </w:p>
        </w:tc>
        <w:tc>
          <w:tcPr>
            <w:tcW w:w="851" w:type="dxa"/>
            <w:vAlign w:val="center"/>
          </w:tcPr>
          <w:p w:rsidR="006B79E0" w:rsidRPr="00CB35A1" w:rsidRDefault="006B79E0" w:rsidP="00612132">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843" w:type="dxa"/>
            <w:shd w:val="clear" w:color="auto" w:fill="auto"/>
          </w:tcPr>
          <w:p w:rsidR="006B79E0" w:rsidRPr="006B79E0" w:rsidRDefault="006B79E0" w:rsidP="006B79E0">
            <w:pPr>
              <w:pStyle w:val="a7"/>
              <w:spacing w:before="0" w:beforeAutospacing="0" w:after="360" w:afterAutospacing="0"/>
              <w:textAlignment w:val="baseline"/>
              <w:rPr>
                <w:color w:val="000000"/>
                <w:spacing w:val="2"/>
                <w:sz w:val="18"/>
                <w:szCs w:val="18"/>
              </w:rPr>
            </w:pPr>
            <w:r w:rsidRPr="006B79E0">
              <w:rPr>
                <w:color w:val="000000"/>
                <w:spacing w:val="2"/>
                <w:sz w:val="18"/>
                <w:szCs w:val="18"/>
              </w:rPr>
              <w:t>Система для переливания крови и кровезаменителей с иглой размером 18G (1,2х38мм), стерильная, однократного применения</w:t>
            </w:r>
          </w:p>
        </w:tc>
        <w:tc>
          <w:tcPr>
            <w:tcW w:w="3118" w:type="dxa"/>
          </w:tcPr>
          <w:p w:rsidR="006B79E0" w:rsidRPr="006B79E0" w:rsidRDefault="006B79E0" w:rsidP="006B79E0">
            <w:pPr>
              <w:pStyle w:val="a7"/>
              <w:spacing w:before="0" w:beforeAutospacing="0" w:after="360" w:afterAutospacing="0"/>
              <w:textAlignment w:val="baseline"/>
              <w:rPr>
                <w:color w:val="000000"/>
                <w:spacing w:val="2"/>
                <w:sz w:val="18"/>
                <w:szCs w:val="18"/>
              </w:rPr>
            </w:pPr>
            <w:r w:rsidRPr="006B79E0">
              <w:rPr>
                <w:color w:val="000000"/>
                <w:spacing w:val="2"/>
                <w:sz w:val="18"/>
                <w:szCs w:val="18"/>
              </w:rPr>
              <w:t>Система для переливания крови и кровезаменителей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крови и ее компонентов, прокалывающего устройства с встроенным воздушным клапаном и воздушным фильтром.</w:t>
            </w:r>
          </w:p>
        </w:tc>
        <w:tc>
          <w:tcPr>
            <w:tcW w:w="851" w:type="dxa"/>
            <w:shd w:val="clear" w:color="auto" w:fill="auto"/>
            <w:vAlign w:val="center"/>
          </w:tcPr>
          <w:p w:rsidR="006B79E0" w:rsidRDefault="006B79E0" w:rsidP="00F33BEF">
            <w:pPr>
              <w:jc w:val="center"/>
              <w:rPr>
                <w:sz w:val="18"/>
                <w:szCs w:val="18"/>
                <w:lang w:val="kk-KZ"/>
              </w:rPr>
            </w:pPr>
            <w:r>
              <w:rPr>
                <w:sz w:val="18"/>
                <w:szCs w:val="18"/>
                <w:lang w:val="kk-KZ"/>
              </w:rPr>
              <w:t xml:space="preserve">Дана </w:t>
            </w:r>
          </w:p>
          <w:p w:rsidR="006B79E0" w:rsidRPr="006B79E0" w:rsidRDefault="006B79E0" w:rsidP="00F33BEF">
            <w:pPr>
              <w:jc w:val="center"/>
              <w:rPr>
                <w:sz w:val="18"/>
                <w:szCs w:val="18"/>
                <w:lang w:val="kk-KZ"/>
              </w:rPr>
            </w:pPr>
            <w:r>
              <w:rPr>
                <w:sz w:val="18"/>
                <w:szCs w:val="18"/>
                <w:lang w:val="kk-KZ"/>
              </w:rPr>
              <w:t>(штука)</w:t>
            </w:r>
          </w:p>
        </w:tc>
        <w:tc>
          <w:tcPr>
            <w:tcW w:w="709" w:type="dxa"/>
            <w:shd w:val="clear" w:color="auto" w:fill="auto"/>
            <w:vAlign w:val="center"/>
          </w:tcPr>
          <w:p w:rsidR="006B79E0" w:rsidRPr="00CB35A1" w:rsidRDefault="006B79E0" w:rsidP="00612132">
            <w:pPr>
              <w:jc w:val="center"/>
              <w:rPr>
                <w:sz w:val="16"/>
                <w:szCs w:val="16"/>
                <w:lang w:val="kk-KZ"/>
              </w:rPr>
            </w:pPr>
            <w:r>
              <w:rPr>
                <w:sz w:val="16"/>
                <w:szCs w:val="16"/>
                <w:lang w:val="kk-KZ"/>
              </w:rPr>
              <w:t>1000</w:t>
            </w:r>
          </w:p>
        </w:tc>
        <w:tc>
          <w:tcPr>
            <w:tcW w:w="1134" w:type="dxa"/>
            <w:shd w:val="clear" w:color="auto" w:fill="auto"/>
            <w:vAlign w:val="center"/>
          </w:tcPr>
          <w:p w:rsidR="006B79E0" w:rsidRPr="00CB35A1" w:rsidRDefault="006B79E0" w:rsidP="00612132">
            <w:pPr>
              <w:jc w:val="center"/>
              <w:rPr>
                <w:sz w:val="16"/>
                <w:szCs w:val="16"/>
                <w:lang w:val="kk-KZ"/>
              </w:rPr>
            </w:pPr>
          </w:p>
          <w:p w:rsidR="006B79E0" w:rsidRPr="00CB35A1" w:rsidRDefault="006B79E0" w:rsidP="00612132">
            <w:pPr>
              <w:jc w:val="center"/>
              <w:rPr>
                <w:sz w:val="16"/>
                <w:szCs w:val="16"/>
                <w:lang w:val="kk-KZ"/>
              </w:rPr>
            </w:pPr>
            <w:r w:rsidRPr="00CB35A1">
              <w:rPr>
                <w:sz w:val="16"/>
                <w:szCs w:val="16"/>
                <w:lang w:val="kk-KZ"/>
              </w:rPr>
              <w:t>DDP</w:t>
            </w:r>
          </w:p>
        </w:tc>
        <w:tc>
          <w:tcPr>
            <w:tcW w:w="1275" w:type="dxa"/>
            <w:shd w:val="clear" w:color="auto" w:fill="auto"/>
            <w:vAlign w:val="center"/>
          </w:tcPr>
          <w:p w:rsidR="006B79E0" w:rsidRPr="00CB35A1" w:rsidRDefault="006B79E0" w:rsidP="00612132">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134" w:type="dxa"/>
            <w:vAlign w:val="center"/>
          </w:tcPr>
          <w:p w:rsidR="006B79E0" w:rsidRPr="00CB35A1" w:rsidRDefault="006B79E0" w:rsidP="00612132">
            <w:pPr>
              <w:jc w:val="center"/>
              <w:rPr>
                <w:sz w:val="16"/>
                <w:szCs w:val="16"/>
                <w:lang w:val="kk-KZ"/>
              </w:rPr>
            </w:pPr>
            <w:r w:rsidRPr="00CB35A1">
              <w:rPr>
                <w:sz w:val="16"/>
                <w:szCs w:val="16"/>
                <w:lang w:val="kk-KZ"/>
              </w:rPr>
              <w:t>Ақтөбе қаласы, Пацаева көшесі 7</w:t>
            </w:r>
          </w:p>
        </w:tc>
        <w:tc>
          <w:tcPr>
            <w:tcW w:w="851" w:type="dxa"/>
            <w:vAlign w:val="center"/>
          </w:tcPr>
          <w:p w:rsidR="006B79E0" w:rsidRPr="00CB35A1" w:rsidRDefault="006B79E0" w:rsidP="00612132">
            <w:pPr>
              <w:jc w:val="center"/>
              <w:rPr>
                <w:sz w:val="16"/>
                <w:szCs w:val="16"/>
                <w:lang w:val="kk-KZ"/>
              </w:rPr>
            </w:pPr>
            <w:r w:rsidRPr="00CB35A1">
              <w:rPr>
                <w:sz w:val="16"/>
                <w:szCs w:val="16"/>
                <w:lang w:val="kk-KZ"/>
              </w:rPr>
              <w:t>0</w:t>
            </w:r>
          </w:p>
        </w:tc>
        <w:tc>
          <w:tcPr>
            <w:tcW w:w="1417" w:type="dxa"/>
            <w:vAlign w:val="center"/>
          </w:tcPr>
          <w:p w:rsidR="006B79E0" w:rsidRPr="00CB35A1" w:rsidRDefault="006B79E0" w:rsidP="00612132">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993" w:type="dxa"/>
            <w:shd w:val="clear" w:color="auto" w:fill="auto"/>
            <w:vAlign w:val="center"/>
          </w:tcPr>
          <w:p w:rsidR="006B79E0" w:rsidRPr="00F33BEF" w:rsidRDefault="006B79E0" w:rsidP="00F33BEF">
            <w:pPr>
              <w:jc w:val="center"/>
              <w:rPr>
                <w:sz w:val="18"/>
                <w:szCs w:val="18"/>
                <w:lang w:val="kk-KZ"/>
              </w:rPr>
            </w:pPr>
            <w:r>
              <w:rPr>
                <w:sz w:val="18"/>
                <w:szCs w:val="18"/>
                <w:lang w:val="kk-KZ"/>
              </w:rPr>
              <w:t>118,20</w:t>
            </w:r>
          </w:p>
        </w:tc>
        <w:tc>
          <w:tcPr>
            <w:tcW w:w="1275" w:type="dxa"/>
            <w:vAlign w:val="center"/>
          </w:tcPr>
          <w:p w:rsidR="006B79E0" w:rsidRPr="00DC6F8A" w:rsidRDefault="006B79E0" w:rsidP="00612132">
            <w:pPr>
              <w:jc w:val="center"/>
              <w:rPr>
                <w:sz w:val="16"/>
                <w:szCs w:val="16"/>
                <w:lang w:val="kk-KZ"/>
              </w:rPr>
            </w:pPr>
            <w:r>
              <w:rPr>
                <w:sz w:val="16"/>
                <w:szCs w:val="16"/>
                <w:lang w:val="kk-KZ"/>
              </w:rPr>
              <w:t>118 200</w:t>
            </w:r>
          </w:p>
        </w:tc>
      </w:tr>
      <w:tr w:rsidR="002B05E1" w:rsidRPr="00823FE0" w:rsidTr="00A166D6">
        <w:trPr>
          <w:trHeight w:val="135"/>
        </w:trPr>
        <w:tc>
          <w:tcPr>
            <w:tcW w:w="12333" w:type="dxa"/>
            <w:gridSpan w:val="10"/>
            <w:shd w:val="clear" w:color="auto" w:fill="auto"/>
            <w:vAlign w:val="center"/>
          </w:tcPr>
          <w:p w:rsidR="00956A88" w:rsidRDefault="00956A88" w:rsidP="002B05E1">
            <w:pPr>
              <w:jc w:val="center"/>
              <w:rPr>
                <w:b/>
                <w:bCs/>
                <w:sz w:val="16"/>
                <w:szCs w:val="16"/>
                <w:lang w:val="kk-KZ"/>
              </w:rPr>
            </w:pPr>
          </w:p>
          <w:p w:rsidR="002B05E1" w:rsidRPr="00823FE0" w:rsidRDefault="002B05E1" w:rsidP="002B05E1">
            <w:pPr>
              <w:jc w:val="center"/>
              <w:rPr>
                <w:b/>
                <w:sz w:val="16"/>
                <w:szCs w:val="16"/>
                <w:lang w:val="kk-KZ"/>
              </w:rPr>
            </w:pPr>
            <w:r w:rsidRPr="00823FE0">
              <w:rPr>
                <w:b/>
                <w:bCs/>
                <w:sz w:val="16"/>
                <w:szCs w:val="16"/>
                <w:lang w:val="kk-KZ"/>
              </w:rPr>
              <w:t>ИТОГО</w:t>
            </w:r>
          </w:p>
        </w:tc>
        <w:tc>
          <w:tcPr>
            <w:tcW w:w="1417" w:type="dxa"/>
          </w:tcPr>
          <w:p w:rsidR="002B05E1" w:rsidRPr="00823FE0" w:rsidRDefault="002B05E1" w:rsidP="002B05E1">
            <w:pPr>
              <w:ind w:left="53" w:hanging="53"/>
              <w:jc w:val="center"/>
              <w:rPr>
                <w:b/>
                <w:sz w:val="16"/>
                <w:szCs w:val="16"/>
                <w:lang w:val="kk-KZ"/>
              </w:rPr>
            </w:pPr>
          </w:p>
        </w:tc>
        <w:tc>
          <w:tcPr>
            <w:tcW w:w="993" w:type="dxa"/>
            <w:shd w:val="clear" w:color="auto" w:fill="auto"/>
            <w:vAlign w:val="center"/>
          </w:tcPr>
          <w:p w:rsidR="002B05E1" w:rsidRPr="00823FE0" w:rsidRDefault="002B05E1" w:rsidP="002B05E1">
            <w:pPr>
              <w:ind w:left="53" w:hanging="53"/>
              <w:jc w:val="center"/>
              <w:rPr>
                <w:b/>
                <w:sz w:val="16"/>
                <w:szCs w:val="16"/>
                <w:lang w:val="kk-KZ"/>
              </w:rPr>
            </w:pPr>
          </w:p>
        </w:tc>
        <w:tc>
          <w:tcPr>
            <w:tcW w:w="1275" w:type="dxa"/>
          </w:tcPr>
          <w:p w:rsidR="002B05E1" w:rsidRPr="00D85B7C" w:rsidRDefault="006B79E0" w:rsidP="002B6D24">
            <w:pPr>
              <w:ind w:left="53" w:hanging="53"/>
              <w:jc w:val="center"/>
              <w:rPr>
                <w:b/>
                <w:sz w:val="16"/>
                <w:szCs w:val="16"/>
                <w:lang w:val="kk-KZ"/>
              </w:rPr>
            </w:pPr>
            <w:r>
              <w:rPr>
                <w:b/>
                <w:sz w:val="16"/>
                <w:szCs w:val="16"/>
                <w:lang w:val="kk-KZ"/>
              </w:rPr>
              <w:t>118 200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2B6D24">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6B79E0">
        <w:rPr>
          <w:color w:val="auto"/>
          <w:sz w:val="18"/>
          <w:szCs w:val="18"/>
          <w:lang w:val="kk-KZ"/>
        </w:rPr>
        <w:t xml:space="preserve">27 </w:t>
      </w:r>
      <w:r w:rsidR="00C510A6">
        <w:rPr>
          <w:color w:val="auto"/>
          <w:sz w:val="18"/>
          <w:szCs w:val="18"/>
          <w:lang w:val="kk-KZ"/>
        </w:rPr>
        <w:t>наурыз</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2B6D24">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6B79E0">
        <w:rPr>
          <w:color w:val="auto"/>
          <w:sz w:val="18"/>
          <w:szCs w:val="18"/>
          <w:lang w:val="kk-KZ"/>
        </w:rPr>
        <w:t>27</w:t>
      </w:r>
      <w:r w:rsidR="00C510A6">
        <w:rPr>
          <w:color w:val="auto"/>
          <w:sz w:val="18"/>
          <w:szCs w:val="18"/>
          <w:lang w:val="kk-KZ"/>
        </w:rPr>
        <w:t xml:space="preserve"> наурыз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201B"/>
    <w:rsid w:val="00194CB4"/>
    <w:rsid w:val="00196891"/>
    <w:rsid w:val="001A02AA"/>
    <w:rsid w:val="001A0D34"/>
    <w:rsid w:val="001A3292"/>
    <w:rsid w:val="001A6127"/>
    <w:rsid w:val="001B0A8C"/>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97EE5"/>
    <w:rsid w:val="002A0FF9"/>
    <w:rsid w:val="002A1820"/>
    <w:rsid w:val="002A6748"/>
    <w:rsid w:val="002B05E1"/>
    <w:rsid w:val="002B1AA0"/>
    <w:rsid w:val="002B1C42"/>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4F6847"/>
    <w:rsid w:val="00522DD1"/>
    <w:rsid w:val="00523EDE"/>
    <w:rsid w:val="005311E5"/>
    <w:rsid w:val="00535AE4"/>
    <w:rsid w:val="00544935"/>
    <w:rsid w:val="0054748E"/>
    <w:rsid w:val="00553482"/>
    <w:rsid w:val="0055455B"/>
    <w:rsid w:val="0055604D"/>
    <w:rsid w:val="00562BB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46BF"/>
    <w:rsid w:val="005E585D"/>
    <w:rsid w:val="005F0C8E"/>
    <w:rsid w:val="00601E32"/>
    <w:rsid w:val="00606077"/>
    <w:rsid w:val="00607099"/>
    <w:rsid w:val="006115B7"/>
    <w:rsid w:val="00612132"/>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21425"/>
    <w:rsid w:val="0082190D"/>
    <w:rsid w:val="00823FE0"/>
    <w:rsid w:val="008340F9"/>
    <w:rsid w:val="00846CF5"/>
    <w:rsid w:val="00847EFC"/>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446D"/>
    <w:rsid w:val="00907035"/>
    <w:rsid w:val="009075A9"/>
    <w:rsid w:val="00910BAB"/>
    <w:rsid w:val="0091128A"/>
    <w:rsid w:val="00911C57"/>
    <w:rsid w:val="00912296"/>
    <w:rsid w:val="00913D83"/>
    <w:rsid w:val="00914945"/>
    <w:rsid w:val="00916A25"/>
    <w:rsid w:val="0093268C"/>
    <w:rsid w:val="00940A25"/>
    <w:rsid w:val="00943A0A"/>
    <w:rsid w:val="00950ADE"/>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C1380"/>
    <w:rsid w:val="00DC225F"/>
    <w:rsid w:val="00DC6F8A"/>
    <w:rsid w:val="00DD4294"/>
    <w:rsid w:val="00DD734D"/>
    <w:rsid w:val="00DD7B15"/>
    <w:rsid w:val="00DF1CC2"/>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572</Words>
  <Characters>3262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22</cp:revision>
  <cp:lastPrinted>2023-02-14T11:37:00Z</cp:lastPrinted>
  <dcterms:created xsi:type="dcterms:W3CDTF">2023-02-14T11:22:00Z</dcterms:created>
  <dcterms:modified xsi:type="dcterms:W3CDTF">2023-03-14T10:31:00Z</dcterms:modified>
</cp:coreProperties>
</file>