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0E2B9E">
        <w:rPr>
          <w:b/>
          <w:color w:val="auto"/>
          <w:sz w:val="16"/>
          <w:szCs w:val="16"/>
          <w:lang w:val="kk-KZ"/>
        </w:rPr>
        <w:t>53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0E2B9E" w:rsidRPr="00305C50">
        <w:rPr>
          <w:b/>
          <w:bCs/>
          <w:color w:val="auto"/>
          <w:kern w:val="36"/>
          <w:sz w:val="18"/>
          <w:szCs w:val="18"/>
        </w:rPr>
        <w:t xml:space="preserve">медицинских изделии для </w:t>
      </w:r>
      <w:r w:rsidR="000E2B9E">
        <w:rPr>
          <w:b/>
          <w:bCs/>
          <w:color w:val="auto"/>
          <w:kern w:val="36"/>
          <w:sz w:val="18"/>
          <w:szCs w:val="18"/>
        </w:rPr>
        <w:t xml:space="preserve">аппарата </w:t>
      </w:r>
      <w:r w:rsidR="000E2B9E">
        <w:rPr>
          <w:b/>
          <w:bCs/>
          <w:color w:val="auto"/>
          <w:kern w:val="36"/>
          <w:sz w:val="18"/>
          <w:szCs w:val="18"/>
          <w:lang w:val="en-US"/>
        </w:rPr>
        <w:t>Gambro</w:t>
      </w:r>
      <w:r w:rsidR="00EB412B">
        <w:rPr>
          <w:b/>
          <w:bCs/>
          <w:color w:val="auto"/>
          <w:kern w:val="36"/>
          <w:sz w:val="16"/>
          <w:szCs w:val="16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2F2">
        <w:rPr>
          <w:color w:val="auto"/>
          <w:sz w:val="16"/>
          <w:szCs w:val="16"/>
          <w:lang w:val="kk-KZ"/>
        </w:rPr>
        <w:t>25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3969"/>
        <w:gridCol w:w="993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6A31E4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Pr="003B5322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0E2B9E" w:rsidRPr="003B5322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C957CE" w:rsidRDefault="000E2B9E" w:rsidP="00C823F2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Кислотный раствор </w:t>
            </w:r>
            <w:r w:rsidR="00972387" w:rsidRPr="00C957CE">
              <w:rPr>
                <w:sz w:val="18"/>
                <w:szCs w:val="18"/>
              </w:rPr>
              <w:t>для диализа 10л</w:t>
            </w:r>
          </w:p>
        </w:tc>
        <w:tc>
          <w:tcPr>
            <w:tcW w:w="3969" w:type="dxa"/>
            <w:vAlign w:val="center"/>
          </w:tcPr>
          <w:p w:rsidR="00972387" w:rsidRPr="00972387" w:rsidRDefault="00972387" w:rsidP="00972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87">
              <w:rPr>
                <w:sz w:val="18"/>
                <w:szCs w:val="18"/>
                <w:lang w:val="kk-KZ"/>
              </w:rPr>
              <w:t>Расчитан на 2 процедуры.</w:t>
            </w:r>
          </w:p>
          <w:p w:rsidR="00972387" w:rsidRPr="00972387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Раствор является прозрачным и почти бесцветным раствором.</w:t>
            </w:r>
          </w:p>
          <w:p w:rsidR="00972387" w:rsidRPr="00972387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 xml:space="preserve">Раствор не содержит никаких метаболитов, </w:t>
            </w:r>
            <w:proofErr w:type="spellStart"/>
            <w:r w:rsidRPr="00972387">
              <w:rPr>
                <w:sz w:val="18"/>
                <w:szCs w:val="18"/>
              </w:rPr>
              <w:t>мочевины</w:t>
            </w:r>
            <w:proofErr w:type="gramStart"/>
            <w:r w:rsidRPr="00972387">
              <w:rPr>
                <w:sz w:val="18"/>
                <w:szCs w:val="18"/>
              </w:rPr>
              <w:t>,к</w:t>
            </w:r>
            <w:proofErr w:type="gramEnd"/>
            <w:r w:rsidRPr="00972387">
              <w:rPr>
                <w:sz w:val="18"/>
                <w:szCs w:val="18"/>
              </w:rPr>
              <w:t>реатина,мочевойкислотыифосфатов</w:t>
            </w:r>
            <w:proofErr w:type="spellEnd"/>
            <w:r w:rsidRPr="00972387">
              <w:rPr>
                <w:sz w:val="18"/>
                <w:szCs w:val="18"/>
              </w:rPr>
              <w:t>.</w:t>
            </w:r>
          </w:p>
          <w:p w:rsidR="00972387" w:rsidRPr="00972387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К</w:t>
            </w:r>
            <w:proofErr w:type="gramStart"/>
            <w:r w:rsidRPr="00972387">
              <w:rPr>
                <w:sz w:val="18"/>
                <w:szCs w:val="18"/>
              </w:rPr>
              <w:t>0</w:t>
            </w:r>
            <w:proofErr w:type="gramEnd"/>
            <w:r w:rsidRPr="00972387">
              <w:rPr>
                <w:sz w:val="18"/>
                <w:szCs w:val="18"/>
              </w:rPr>
              <w:t xml:space="preserve"> Са1.5 Mg0,5G0;</w:t>
            </w:r>
          </w:p>
          <w:p w:rsidR="000E2B9E" w:rsidRPr="00972387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К</w:t>
            </w:r>
            <w:proofErr w:type="gramStart"/>
            <w:r w:rsidRPr="00972387">
              <w:rPr>
                <w:sz w:val="18"/>
                <w:szCs w:val="18"/>
              </w:rPr>
              <w:t>0</w:t>
            </w:r>
            <w:proofErr w:type="gramEnd"/>
            <w:r w:rsidRPr="00972387">
              <w:rPr>
                <w:sz w:val="18"/>
                <w:szCs w:val="18"/>
              </w:rPr>
              <w:t xml:space="preserve"> Са1.5 Mg0,5G1; К4 Са1.75 Mg0,5 G0; К4 Са1.75 Mg0,5 G1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канистр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Pr="003B5322" w:rsidRDefault="00F642F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Pr="003B5322" w:rsidRDefault="00AB7CAF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</w:t>
            </w:r>
          </w:p>
        </w:tc>
        <w:tc>
          <w:tcPr>
            <w:tcW w:w="1418" w:type="dxa"/>
            <w:vAlign w:val="center"/>
          </w:tcPr>
          <w:p w:rsidR="000E2B9E" w:rsidRPr="003B5322" w:rsidRDefault="00260A9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320 000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C957CE" w:rsidRDefault="000E2B9E" w:rsidP="00C823F2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 xml:space="preserve">Диализаторы </w:t>
            </w:r>
            <w:proofErr w:type="gramStart"/>
            <w:r w:rsidRPr="00C957CE">
              <w:rPr>
                <w:sz w:val="18"/>
                <w:szCs w:val="18"/>
              </w:rPr>
              <w:t>капиллярный</w:t>
            </w:r>
            <w:proofErr w:type="gramEnd"/>
            <w:r w:rsidR="00972387">
              <w:rPr>
                <w:sz w:val="18"/>
                <w:szCs w:val="18"/>
              </w:rPr>
              <w:t xml:space="preserve"> </w:t>
            </w:r>
            <w:r w:rsidR="00972387" w:rsidRPr="00C957CE">
              <w:rPr>
                <w:sz w:val="18"/>
                <w:szCs w:val="18"/>
              </w:rPr>
              <w:t>21Н-21л</w:t>
            </w:r>
          </w:p>
        </w:tc>
        <w:tc>
          <w:tcPr>
            <w:tcW w:w="3969" w:type="dxa"/>
            <w:vAlign w:val="center"/>
          </w:tcPr>
          <w:p w:rsidR="00972387" w:rsidRPr="00972387" w:rsidRDefault="00972387" w:rsidP="009723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Мембрана PORACTON обеспечивает высокую эффективность при меньшей площади контакта мембраны с кровью, предотвращает потери жизненно необходимых белков.</w:t>
            </w:r>
          </w:p>
          <w:p w:rsidR="000E2B9E" w:rsidRPr="00C957CE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bCs/>
                <w:sz w:val="18"/>
                <w:szCs w:val="18"/>
              </w:rPr>
              <w:t xml:space="preserve">Клиренс </w:t>
            </w:r>
            <w:proofErr w:type="spellStart"/>
            <w:r w:rsidRPr="00972387">
              <w:rPr>
                <w:bCs/>
                <w:sz w:val="18"/>
                <w:szCs w:val="18"/>
              </w:rPr>
              <w:t>invitro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(мл/мин) ± 10% при </w:t>
            </w:r>
            <w:proofErr w:type="spellStart"/>
            <w:r w:rsidRPr="00972387">
              <w:rPr>
                <w:bCs/>
                <w:sz w:val="18"/>
                <w:szCs w:val="18"/>
              </w:rPr>
              <w:t>гемодиафильтрации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QD= 800 мл/мин, УФ = 60 мл/мин</w:t>
            </w:r>
            <w:proofErr w:type="gramStart"/>
            <w:r w:rsidRPr="00972387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972387">
              <w:rPr>
                <w:bCs/>
                <w:sz w:val="18"/>
                <w:szCs w:val="18"/>
              </w:rPr>
              <w:t xml:space="preserve"> Мочевина -  416, </w:t>
            </w:r>
            <w:proofErr w:type="spellStart"/>
            <w:r w:rsidRPr="00972387">
              <w:rPr>
                <w:bCs/>
                <w:sz w:val="18"/>
                <w:szCs w:val="18"/>
              </w:rPr>
              <w:t>Креатинин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- 382, Фосфат - 355, Витамин В12 - 243. Технические характеристики: </w:t>
            </w:r>
            <w:proofErr w:type="spellStart"/>
            <w:proofErr w:type="gramStart"/>
            <w:r w:rsidRPr="00972387">
              <w:rPr>
                <w:bCs/>
                <w:sz w:val="18"/>
                <w:szCs w:val="18"/>
              </w:rPr>
              <w:t>KoA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для мочевины - 1186, Коэффициент УФ </w:t>
            </w:r>
            <w:proofErr w:type="spellStart"/>
            <w:r w:rsidRPr="00972387">
              <w:rPr>
                <w:bCs/>
                <w:sz w:val="18"/>
                <w:szCs w:val="18"/>
              </w:rPr>
              <w:t>invitro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- 48, Скорость потока крови (мл/мин) - 200-500, Скорость потока диализата -  300-800, Мембрана, Эффективная площадь поверхности - 1,4, Толщина стенки (мкм)  - 35, Внутренний диаметр (мкм) - 190, Объем заполнения (мл) -  74, Остаточный объем крови (мл)   &lt;1, Рекомендованный объем заполнения (мл) -  ≥300, Максимальное ТМД (мм </w:t>
            </w:r>
            <w:proofErr w:type="spellStart"/>
            <w:r w:rsidRPr="00972387">
              <w:rPr>
                <w:bCs/>
                <w:sz w:val="18"/>
                <w:szCs w:val="18"/>
              </w:rPr>
              <w:t>рт.ст</w:t>
            </w:r>
            <w:proofErr w:type="spellEnd"/>
            <w:r w:rsidRPr="00972387">
              <w:rPr>
                <w:bCs/>
                <w:sz w:val="18"/>
                <w:szCs w:val="18"/>
              </w:rPr>
              <w:t>.) - 600, Витамин В12 - 1,0, Инулин - 1,0, β2-микроглобулин - 0,7, Альбумин   &lt;0,01</w:t>
            </w:r>
            <w:proofErr w:type="gramEnd"/>
            <w:r w:rsidRPr="00972387">
              <w:rPr>
                <w:bCs/>
                <w:sz w:val="18"/>
                <w:szCs w:val="18"/>
              </w:rPr>
              <w:t xml:space="preserve">. Материал: </w:t>
            </w:r>
            <w:proofErr w:type="gramStart"/>
            <w:r w:rsidRPr="00972387">
              <w:rPr>
                <w:bCs/>
                <w:sz w:val="18"/>
                <w:szCs w:val="18"/>
              </w:rPr>
              <w:t>Мембрана - (</w:t>
            </w:r>
            <w:proofErr w:type="spellStart"/>
            <w:r w:rsidRPr="00972387">
              <w:rPr>
                <w:bCs/>
                <w:sz w:val="18"/>
                <w:szCs w:val="18"/>
              </w:rPr>
              <w:t>BPA-free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), Корпус  - </w:t>
            </w:r>
            <w:r w:rsidRPr="00972387">
              <w:rPr>
                <w:bCs/>
                <w:sz w:val="18"/>
                <w:szCs w:val="18"/>
              </w:rPr>
              <w:lastRenderedPageBreak/>
              <w:t>Поликарбонат, Порт для крови - Полиуретан, Уплотнительные кольца - Силиконовая резина, Стерилизация - пар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lastRenderedPageBreak/>
              <w:t>канистра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F642F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AB7CAF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7 200</w:t>
            </w:r>
          </w:p>
        </w:tc>
        <w:tc>
          <w:tcPr>
            <w:tcW w:w="1418" w:type="dxa"/>
            <w:vAlign w:val="center"/>
          </w:tcPr>
          <w:p w:rsidR="000E2B9E" w:rsidRDefault="00260A9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1 440 000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83" w:type="dxa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C957CE" w:rsidRDefault="000E2B9E" w:rsidP="00C823F2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Магистрали</w:t>
            </w:r>
            <w:proofErr w:type="gramStart"/>
            <w:r w:rsidRPr="00C957CE">
              <w:rPr>
                <w:sz w:val="18"/>
                <w:szCs w:val="18"/>
              </w:rPr>
              <w:t xml:space="preserve"> </w:t>
            </w:r>
            <w:r w:rsidR="00972387">
              <w:rPr>
                <w:sz w:val="18"/>
                <w:szCs w:val="18"/>
              </w:rPr>
              <w:t>Д</w:t>
            </w:r>
            <w:proofErr w:type="gramEnd"/>
            <w:r w:rsidR="00972387">
              <w:rPr>
                <w:sz w:val="18"/>
                <w:szCs w:val="18"/>
              </w:rPr>
              <w:t xml:space="preserve">ля аппарата </w:t>
            </w:r>
            <w:r w:rsidR="00972387">
              <w:rPr>
                <w:sz w:val="18"/>
                <w:szCs w:val="18"/>
                <w:lang w:val="en-US"/>
              </w:rPr>
              <w:t>Gambro</w:t>
            </w:r>
          </w:p>
        </w:tc>
        <w:tc>
          <w:tcPr>
            <w:tcW w:w="3969" w:type="dxa"/>
            <w:vAlign w:val="center"/>
          </w:tcPr>
          <w:p w:rsidR="000E2B9E" w:rsidRPr="00972387" w:rsidRDefault="00972387" w:rsidP="00972387">
            <w:pPr>
              <w:jc w:val="center"/>
              <w:rPr>
                <w:sz w:val="18"/>
                <w:szCs w:val="18"/>
              </w:rPr>
            </w:pPr>
            <w:proofErr w:type="spellStart"/>
            <w:r w:rsidRPr="00972387">
              <w:rPr>
                <w:sz w:val="18"/>
                <w:szCs w:val="18"/>
              </w:rPr>
              <w:t>кровопроводящая</w:t>
            </w:r>
            <w:proofErr w:type="spellEnd"/>
            <w:r w:rsidRPr="00972387">
              <w:rPr>
                <w:sz w:val="18"/>
                <w:szCs w:val="18"/>
              </w:rPr>
              <w:t xml:space="preserve"> магистраль: мягкий ПВХ медицинского предназначения; </w:t>
            </w:r>
            <w:proofErr w:type="spellStart"/>
            <w:r w:rsidRPr="00972387">
              <w:rPr>
                <w:sz w:val="18"/>
                <w:szCs w:val="18"/>
              </w:rPr>
              <w:t>коннекторы</w:t>
            </w:r>
            <w:proofErr w:type="spellEnd"/>
            <w:r w:rsidRPr="00972387">
              <w:rPr>
                <w:sz w:val="18"/>
                <w:szCs w:val="18"/>
              </w:rPr>
              <w:t xml:space="preserve"> и другие компоненты: поликарбонат, ПВХ (поливинилхлорид), АБС (акрилонитрил-бутадиен-стирол), ПЭ (полиэтилен), ПА (полиамид); размеры: насосный сегмент 8,0 мм, венозная пузырьковая ловушка 22 мм, объем наполнения 158 мл. Стерилизация </w:t>
            </w:r>
            <w:proofErr w:type="spellStart"/>
            <w:r w:rsidRPr="00972387">
              <w:rPr>
                <w:sz w:val="18"/>
                <w:szCs w:val="18"/>
              </w:rPr>
              <w:t>этиленоксидом</w:t>
            </w:r>
            <w:proofErr w:type="spellEnd"/>
            <w:r w:rsidRPr="00972387">
              <w:rPr>
                <w:sz w:val="18"/>
                <w:szCs w:val="18"/>
              </w:rPr>
              <w:t>. Разъемы должны быть выполнены в стандарте и иметь цветную (</w:t>
            </w:r>
            <w:proofErr w:type="gramStart"/>
            <w:r w:rsidRPr="00972387">
              <w:rPr>
                <w:sz w:val="18"/>
                <w:szCs w:val="18"/>
              </w:rPr>
              <w:t>красную</w:t>
            </w:r>
            <w:proofErr w:type="gramEnd"/>
            <w:r w:rsidRPr="00972387">
              <w:rPr>
                <w:sz w:val="18"/>
                <w:szCs w:val="18"/>
              </w:rPr>
              <w:t>/синюю) маркировку.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F642F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AB7CAF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418" w:type="dxa"/>
            <w:vAlign w:val="center"/>
          </w:tcPr>
          <w:p w:rsidR="000E2B9E" w:rsidRDefault="00260A9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C957CE" w:rsidRDefault="000E2B9E" w:rsidP="000E2B9E">
            <w:pPr>
              <w:jc w:val="center"/>
              <w:rPr>
                <w:sz w:val="18"/>
                <w:szCs w:val="18"/>
              </w:rPr>
            </w:pPr>
            <w:proofErr w:type="gramStart"/>
            <w:r w:rsidRPr="00C957CE">
              <w:rPr>
                <w:sz w:val="18"/>
                <w:szCs w:val="18"/>
              </w:rPr>
              <w:t>Бикарбонатные</w:t>
            </w:r>
            <w:proofErr w:type="gramEnd"/>
            <w:r w:rsidRPr="00C957CE">
              <w:rPr>
                <w:sz w:val="18"/>
                <w:szCs w:val="18"/>
              </w:rPr>
              <w:t xml:space="preserve"> картридж </w:t>
            </w:r>
            <w:r w:rsidR="00972387" w:rsidRPr="00C957CE">
              <w:rPr>
                <w:sz w:val="18"/>
                <w:szCs w:val="18"/>
              </w:rPr>
              <w:t>однократного применение</w:t>
            </w:r>
          </w:p>
        </w:tc>
        <w:tc>
          <w:tcPr>
            <w:tcW w:w="3969" w:type="dxa"/>
            <w:vAlign w:val="center"/>
          </w:tcPr>
          <w:p w:rsidR="000E2B9E" w:rsidRPr="00972387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Сухой концентрат в полипропиленовом контейнере. Состав: натрия гидрокарбонат не менее 720г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Pr="000E2B9E" w:rsidRDefault="000E2B9E" w:rsidP="0097238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AB7CAF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</w:t>
            </w:r>
          </w:p>
        </w:tc>
        <w:tc>
          <w:tcPr>
            <w:tcW w:w="1418" w:type="dxa"/>
            <w:vAlign w:val="center"/>
          </w:tcPr>
          <w:p w:rsidR="000E2B9E" w:rsidRDefault="00D5160D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C957CE" w:rsidRDefault="001A02AA" w:rsidP="00C82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Фильтры </w:t>
            </w:r>
            <w:proofErr w:type="spellStart"/>
            <w:r>
              <w:rPr>
                <w:sz w:val="18"/>
                <w:szCs w:val="18"/>
              </w:rPr>
              <w:t>диализного</w:t>
            </w:r>
            <w:proofErr w:type="spellEnd"/>
            <w:r>
              <w:rPr>
                <w:sz w:val="18"/>
                <w:szCs w:val="18"/>
              </w:rPr>
              <w:t xml:space="preserve"> потока </w:t>
            </w:r>
          </w:p>
        </w:tc>
        <w:tc>
          <w:tcPr>
            <w:tcW w:w="3969" w:type="dxa"/>
            <w:vAlign w:val="center"/>
          </w:tcPr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Ультрафильтр для ультрачистой фильтрации Предназначен для использования только с аппаратами для диализа GAMBRO, имеющими функцию фильтрации диализата. Используется в сочетании с полной системой подготовки воды и не должен использоваться как отдельный компонент для очистки воды для гемодиализа.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Физические характеристики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Площадь поверхности: 1,4м</w:t>
            </w:r>
            <w:proofErr w:type="gramStart"/>
            <w:r w:rsidRPr="00972387">
              <w:rPr>
                <w:sz w:val="18"/>
                <w:szCs w:val="18"/>
              </w:rPr>
              <w:t>2</w:t>
            </w:r>
            <w:proofErr w:type="gramEnd"/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Полое волокно: Толщина стенок: 50мкм, Внутренний диаметр: 215мкм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Число волокон: 8300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Объем заполнения: внутреннего канала 98мл, отделения фильтра 125мл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Материалы</w:t>
            </w:r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 xml:space="preserve">Полое волокно: </w:t>
            </w:r>
            <w:proofErr w:type="spellStart"/>
            <w:r w:rsidRPr="00972387">
              <w:rPr>
                <w:sz w:val="18"/>
                <w:szCs w:val="18"/>
              </w:rPr>
              <w:t>полиарилэтерсульфон</w:t>
            </w:r>
            <w:proofErr w:type="spellEnd"/>
          </w:p>
          <w:p w:rsidR="00972387" w:rsidRPr="00972387" w:rsidRDefault="00972387" w:rsidP="00972387">
            <w:pPr>
              <w:snapToGrid w:val="0"/>
              <w:jc w:val="center"/>
              <w:rPr>
                <w:sz w:val="18"/>
                <w:szCs w:val="18"/>
              </w:rPr>
            </w:pPr>
            <w:r w:rsidRPr="00972387">
              <w:rPr>
                <w:sz w:val="18"/>
                <w:szCs w:val="18"/>
              </w:rPr>
              <w:t>Материал заполнения: полиуретан</w:t>
            </w:r>
          </w:p>
          <w:p w:rsidR="000E2B9E" w:rsidRPr="00972387" w:rsidRDefault="00972387" w:rsidP="00972387">
            <w:pPr>
              <w:jc w:val="center"/>
            </w:pPr>
            <w:r w:rsidRPr="00972387">
              <w:rPr>
                <w:sz w:val="18"/>
                <w:szCs w:val="18"/>
              </w:rPr>
              <w:t>Корпус: поликарбонат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1A02AA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AB7CAF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47 500</w:t>
            </w:r>
          </w:p>
        </w:tc>
        <w:tc>
          <w:tcPr>
            <w:tcW w:w="1418" w:type="dxa"/>
            <w:vAlign w:val="center"/>
          </w:tcPr>
          <w:p w:rsidR="000E2B9E" w:rsidRDefault="00D5160D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1 425 000</w:t>
            </w:r>
          </w:p>
        </w:tc>
      </w:tr>
      <w:tr w:rsidR="000E2B9E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3" w:type="dxa"/>
            <w:vAlign w:val="center"/>
          </w:tcPr>
          <w:p w:rsidR="000E2B9E" w:rsidRDefault="000E2B9E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387" w:rsidRDefault="00972387" w:rsidP="00C823F2">
            <w:pPr>
              <w:jc w:val="center"/>
              <w:rPr>
                <w:sz w:val="18"/>
                <w:szCs w:val="18"/>
              </w:rPr>
            </w:pPr>
          </w:p>
          <w:p w:rsidR="00972387" w:rsidRDefault="00972387" w:rsidP="00C823F2">
            <w:pPr>
              <w:jc w:val="center"/>
              <w:rPr>
                <w:sz w:val="18"/>
                <w:szCs w:val="18"/>
              </w:rPr>
            </w:pPr>
          </w:p>
          <w:p w:rsidR="000E2B9E" w:rsidRPr="00C957CE" w:rsidRDefault="000E2B9E" w:rsidP="00C823F2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t>Лимонная кислота 10л</w:t>
            </w:r>
          </w:p>
        </w:tc>
        <w:tc>
          <w:tcPr>
            <w:tcW w:w="3969" w:type="dxa"/>
            <w:vAlign w:val="center"/>
          </w:tcPr>
          <w:p w:rsidR="00972387" w:rsidRPr="00972387" w:rsidRDefault="00972387" w:rsidP="00972387">
            <w:pPr>
              <w:pStyle w:val="aa"/>
              <w:jc w:val="center"/>
              <w:rPr>
                <w:bCs/>
                <w:sz w:val="18"/>
                <w:szCs w:val="18"/>
              </w:rPr>
            </w:pPr>
            <w:r w:rsidRPr="00972387">
              <w:rPr>
                <w:bCs/>
                <w:sz w:val="18"/>
                <w:szCs w:val="18"/>
              </w:rPr>
              <w:t xml:space="preserve">Прозрачная бесцветная жидкость </w:t>
            </w:r>
            <w:proofErr w:type="spellStart"/>
            <w:r w:rsidRPr="00972387">
              <w:rPr>
                <w:bCs/>
                <w:sz w:val="18"/>
                <w:szCs w:val="18"/>
              </w:rPr>
              <w:t>pH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: 1 - 2. Плотность (20°С): 1,2 </w:t>
            </w:r>
            <w:proofErr w:type="spellStart"/>
            <w:r w:rsidRPr="00972387">
              <w:rPr>
                <w:bCs/>
                <w:sz w:val="18"/>
                <w:szCs w:val="18"/>
              </w:rPr>
              <w:t>гр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/мл. Состав: 1000 мл содержат 500 </w:t>
            </w:r>
            <w:proofErr w:type="spellStart"/>
            <w:r w:rsidRPr="00972387">
              <w:rPr>
                <w:bCs/>
                <w:sz w:val="18"/>
                <w:szCs w:val="18"/>
              </w:rPr>
              <w:t>гр</w:t>
            </w:r>
            <w:proofErr w:type="spellEnd"/>
            <w:r w:rsidRPr="00972387">
              <w:rPr>
                <w:bCs/>
                <w:sz w:val="18"/>
                <w:szCs w:val="18"/>
              </w:rPr>
              <w:t xml:space="preserve"> обезвоженной лимонной кислоты. Для дезинфекции используется 120 мл раствора. Время дезинфекции, в зависимости от </w:t>
            </w:r>
            <w:r w:rsidRPr="00972387">
              <w:rPr>
                <w:bCs/>
                <w:sz w:val="18"/>
                <w:szCs w:val="18"/>
              </w:rPr>
              <w:lastRenderedPageBreak/>
              <w:t>конфигурации аппарата "искусственная почка" и рекомендаций производителя, от 15 до 20 минут.</w:t>
            </w:r>
          </w:p>
          <w:p w:rsidR="00972387" w:rsidRPr="00972387" w:rsidRDefault="00972387" w:rsidP="00972387">
            <w:pPr>
              <w:pStyle w:val="aa"/>
              <w:jc w:val="center"/>
              <w:rPr>
                <w:bCs/>
                <w:sz w:val="18"/>
                <w:szCs w:val="18"/>
              </w:rPr>
            </w:pPr>
            <w:r w:rsidRPr="00972387">
              <w:rPr>
                <w:bCs/>
                <w:sz w:val="18"/>
                <w:szCs w:val="18"/>
              </w:rPr>
              <w:t xml:space="preserve">Средство активно в отношении грамотрицательных и грамположительных бактерий (включая микобактерии туберкулёза), грибов рода </w:t>
            </w:r>
            <w:proofErr w:type="spellStart"/>
            <w:r w:rsidRPr="00972387">
              <w:rPr>
                <w:bCs/>
                <w:sz w:val="18"/>
                <w:szCs w:val="18"/>
              </w:rPr>
              <w:t>Кандида</w:t>
            </w:r>
            <w:proofErr w:type="spellEnd"/>
            <w:r w:rsidRPr="00972387">
              <w:rPr>
                <w:bCs/>
                <w:sz w:val="18"/>
                <w:szCs w:val="18"/>
              </w:rPr>
              <w:t>, вирусов (включая вирусы парентеральных гепатитов и ВИЧ).</w:t>
            </w:r>
          </w:p>
          <w:p w:rsidR="000E2B9E" w:rsidRPr="00C957CE" w:rsidRDefault="00972387" w:rsidP="00972387">
            <w:pPr>
              <w:jc w:val="center"/>
              <w:rPr>
                <w:sz w:val="18"/>
                <w:szCs w:val="18"/>
              </w:rPr>
            </w:pPr>
            <w:r w:rsidRPr="00972387">
              <w:rPr>
                <w:bCs/>
                <w:sz w:val="18"/>
                <w:szCs w:val="18"/>
              </w:rPr>
              <w:t>Хорошо смешивается с водой, обладает способностью удалять осадки солей неорганических кислот (декальцинация).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B9E" w:rsidRPr="00C957CE" w:rsidRDefault="000E2B9E" w:rsidP="00972387">
            <w:pPr>
              <w:jc w:val="center"/>
              <w:rPr>
                <w:sz w:val="18"/>
                <w:szCs w:val="18"/>
              </w:rPr>
            </w:pPr>
            <w:r w:rsidRPr="00C957CE">
              <w:rPr>
                <w:sz w:val="18"/>
                <w:szCs w:val="18"/>
              </w:rPr>
              <w:lastRenderedPageBreak/>
              <w:t>канистра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Pr="00F642F2" w:rsidRDefault="00F642F2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</w:p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E2B9E" w:rsidRPr="003B5322" w:rsidRDefault="000E2B9E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B9E" w:rsidRDefault="00D5160D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32 000</w:t>
            </w:r>
          </w:p>
        </w:tc>
        <w:tc>
          <w:tcPr>
            <w:tcW w:w="1418" w:type="dxa"/>
            <w:vAlign w:val="center"/>
          </w:tcPr>
          <w:p w:rsidR="000E2B9E" w:rsidRDefault="00260A93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320 000</w:t>
            </w:r>
          </w:p>
        </w:tc>
      </w:tr>
      <w:tr w:rsidR="00EB412B" w:rsidRPr="00AA054C" w:rsidTr="006A31E4">
        <w:trPr>
          <w:trHeight w:val="170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260A93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4 425 000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6A31E4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F642F2">
        <w:rPr>
          <w:color w:val="auto"/>
          <w:sz w:val="16"/>
          <w:szCs w:val="16"/>
          <w:lang w:val="kk-KZ"/>
        </w:rPr>
        <w:t>03.05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6A31E4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F642F2">
        <w:rPr>
          <w:color w:val="auto"/>
          <w:sz w:val="16"/>
          <w:szCs w:val="16"/>
          <w:lang w:val="kk-KZ"/>
        </w:rPr>
        <w:t>03.05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02AA"/>
    <w:rsid w:val="001A3292"/>
    <w:rsid w:val="001A6127"/>
    <w:rsid w:val="001C63CC"/>
    <w:rsid w:val="001D69D5"/>
    <w:rsid w:val="00207560"/>
    <w:rsid w:val="00217028"/>
    <w:rsid w:val="00217FC5"/>
    <w:rsid w:val="002212FC"/>
    <w:rsid w:val="00230FFB"/>
    <w:rsid w:val="002472A7"/>
    <w:rsid w:val="00260A93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5751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D6CCD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0D50"/>
    <w:rsid w:val="00C93BAA"/>
    <w:rsid w:val="00CB11A5"/>
    <w:rsid w:val="00CB40FE"/>
    <w:rsid w:val="00CB7F40"/>
    <w:rsid w:val="00CC23BB"/>
    <w:rsid w:val="00CC4896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2022-04-25T04:53:00Z</cp:lastPrinted>
  <dcterms:created xsi:type="dcterms:W3CDTF">2022-04-22T05:40:00Z</dcterms:created>
  <dcterms:modified xsi:type="dcterms:W3CDTF">2022-04-25T09:15:00Z</dcterms:modified>
</cp:coreProperties>
</file>