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9F04F2" w:rsidRDefault="00D41F31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lang w:val="kk-KZ"/>
        </w:rPr>
        <w:t>Объявление №</w:t>
      </w:r>
      <w:r w:rsidR="00DC2FA5">
        <w:rPr>
          <w:b/>
          <w:color w:val="auto"/>
          <w:sz w:val="18"/>
          <w:szCs w:val="18"/>
        </w:rPr>
        <w:t>40</w:t>
      </w:r>
    </w:p>
    <w:p w:rsidR="00EF50E4" w:rsidRPr="007B50C7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7B50C7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7B50C7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7B50C7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942CFE" w:rsidRPr="00942CFE">
        <w:rPr>
          <w:b/>
          <w:color w:val="auto"/>
          <w:sz w:val="18"/>
          <w:szCs w:val="18"/>
        </w:rPr>
        <w:t xml:space="preserve">реагенты </w:t>
      </w:r>
      <w:proofErr w:type="gramStart"/>
      <w:r w:rsidR="00942CFE" w:rsidRPr="00942CFE">
        <w:rPr>
          <w:b/>
          <w:color w:val="auto"/>
          <w:sz w:val="18"/>
          <w:szCs w:val="18"/>
        </w:rPr>
        <w:t>для</w:t>
      </w:r>
      <w:proofErr w:type="gramEnd"/>
      <w:r w:rsidR="008C6E2D">
        <w:rPr>
          <w:b/>
          <w:color w:val="auto"/>
          <w:sz w:val="18"/>
          <w:szCs w:val="18"/>
        </w:rPr>
        <w:t xml:space="preserve"> </w:t>
      </w:r>
      <w:proofErr w:type="gramStart"/>
      <w:r w:rsidR="00942CFE" w:rsidRPr="00942CFE">
        <w:rPr>
          <w:b/>
          <w:color w:val="auto"/>
          <w:sz w:val="18"/>
          <w:szCs w:val="18"/>
        </w:rPr>
        <w:t>биохимический</w:t>
      </w:r>
      <w:proofErr w:type="gramEnd"/>
      <w:r w:rsidR="00942CFE" w:rsidRPr="00942CFE">
        <w:rPr>
          <w:b/>
          <w:color w:val="auto"/>
          <w:sz w:val="18"/>
          <w:szCs w:val="18"/>
        </w:rPr>
        <w:t xml:space="preserve"> анализатор  CS- T 240</w:t>
      </w:r>
      <w:r w:rsidR="008C6E2D">
        <w:rPr>
          <w:b/>
          <w:color w:val="auto"/>
          <w:sz w:val="18"/>
          <w:szCs w:val="18"/>
        </w:rPr>
        <w:t xml:space="preserve"> </w:t>
      </w:r>
      <w:r w:rsidRPr="007B50C7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FA5">
        <w:rPr>
          <w:color w:val="auto"/>
          <w:sz w:val="18"/>
          <w:szCs w:val="18"/>
        </w:rPr>
        <w:t>18.03</w:t>
      </w:r>
      <w:r w:rsidR="00042E43">
        <w:rPr>
          <w:color w:val="auto"/>
          <w:sz w:val="18"/>
          <w:szCs w:val="18"/>
          <w:lang w:val="kk-KZ"/>
        </w:rPr>
        <w:t>.2022</w:t>
      </w:r>
      <w:r w:rsidRPr="00042E43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3118"/>
        <w:gridCol w:w="993"/>
        <w:gridCol w:w="992"/>
        <w:gridCol w:w="1134"/>
        <w:gridCol w:w="1984"/>
        <w:gridCol w:w="1418"/>
        <w:gridCol w:w="992"/>
        <w:gridCol w:w="1134"/>
        <w:gridCol w:w="1134"/>
        <w:gridCol w:w="1276"/>
      </w:tblGrid>
      <w:tr w:rsidR="003827F9" w:rsidRPr="003C4686" w:rsidTr="003827F9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3827F9" w:rsidRPr="009D3F1E" w:rsidRDefault="003827F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3827F9" w:rsidRPr="009D3F1E" w:rsidRDefault="003827F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9D3F1E" w:rsidRDefault="003827F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9D3F1E" w:rsidRDefault="003827F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9D3F1E" w:rsidRDefault="003827F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9D3F1E" w:rsidRDefault="003827F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9D3F1E" w:rsidRDefault="003827F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418" w:type="dxa"/>
            <w:vAlign w:val="center"/>
          </w:tcPr>
          <w:p w:rsidR="003827F9" w:rsidRPr="009D3F1E" w:rsidRDefault="003827F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3827F9" w:rsidRPr="009D3F1E" w:rsidRDefault="003827F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vAlign w:val="center"/>
          </w:tcPr>
          <w:p w:rsidR="003827F9" w:rsidRDefault="003827F9" w:rsidP="003827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9D3F1E" w:rsidRDefault="003827F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</w:tcPr>
          <w:p w:rsidR="003827F9" w:rsidRPr="009D3F1E" w:rsidRDefault="003827F9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3827F9" w:rsidRPr="00FC1AD5" w:rsidRDefault="003827F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AA4FAF">
              <w:rPr>
                <w:color w:val="auto"/>
                <w:sz w:val="18"/>
                <w:szCs w:val="18"/>
              </w:rPr>
              <w:t>Аланинаминотрансфераза</w:t>
            </w:r>
            <w:bookmarkStart w:id="6" w:name="_GoBack"/>
            <w:bookmarkEnd w:id="6"/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D164CF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17 520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297 840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AA4FAF">
              <w:rPr>
                <w:color w:val="auto"/>
                <w:sz w:val="18"/>
                <w:szCs w:val="18"/>
              </w:rPr>
              <w:t>Аспартатаминотрансфераза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17 520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297 840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 w:rsidRPr="00AA4FAF">
              <w:rPr>
                <w:color w:val="auto"/>
                <w:sz w:val="18"/>
                <w:szCs w:val="18"/>
              </w:rPr>
              <w:t>Щелочная  фосфатаза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 w:rsidRPr="00AA4FAF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17 520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227 760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Гамма-глутамилтрансфераза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 xml:space="preserve">по мере финансирования из вышестоящей </w:t>
            </w:r>
            <w:r w:rsidRPr="003827F9">
              <w:rPr>
                <w:sz w:val="16"/>
                <w:szCs w:val="16"/>
                <w:lang w:val="kk-KZ"/>
              </w:rPr>
              <w:lastRenderedPageBreak/>
              <w:t>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36 840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478 920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Общий белок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12 360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160 680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Альбумин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10 560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42 240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Pr="00942CFE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Общий билирубин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A4FA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DDP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24 120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361 800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Pr="00942CFE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Прямой билирубин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24 120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361 800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Pr="00942CFE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Глюкоза-оксидаза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14 040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210 600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Pr="00942CFE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Мочевина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33 360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500 400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Pr="00942CFE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Мочевая кислота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28 080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84 240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Pr="00942CFE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12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Креатинин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10 200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459 000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Pr="00942CFE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Общий холестерин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>, ул. Пацаева7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42 120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631 800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Pr="00942CFE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Триглицериды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9E0AEE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49 080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736 200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9E0AE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Холестерин липопротеинов высокой плотности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34 680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277 440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9E0AE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Холестерин липопротеинов низкой плотности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199 080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1 592 640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Амилаза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3D3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252 360</w:t>
            </w:r>
          </w:p>
        </w:tc>
        <w:tc>
          <w:tcPr>
            <w:tcW w:w="1276" w:type="dxa"/>
            <w:vAlign w:val="center"/>
          </w:tcPr>
          <w:p w:rsidR="003827F9" w:rsidRDefault="003827F9" w:rsidP="003D3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757 080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Магний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13 560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27 120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Неорганический фосфор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В течение 5 календарных </w:t>
            </w:r>
            <w:r w:rsidRPr="00AB79AC">
              <w:rPr>
                <w:sz w:val="16"/>
                <w:szCs w:val="16"/>
              </w:rPr>
              <w:lastRenderedPageBreak/>
              <w:t xml:space="preserve">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lastRenderedPageBreak/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</w:t>
            </w:r>
            <w:r w:rsidRPr="003827F9">
              <w:rPr>
                <w:iCs/>
                <w:sz w:val="16"/>
                <w:szCs w:val="16"/>
              </w:rPr>
              <w:lastRenderedPageBreak/>
              <w:t xml:space="preserve">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14 040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28 080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Железо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45 360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181 440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Сыворотка для клинико-химической калибровки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129 720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259 440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Сыворотка для клинико-химического контроля. Качества уровень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119 280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238 560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Pr="009E0AEE" w:rsidRDefault="003827F9" w:rsidP="008D0078">
            <w:pPr>
              <w:jc w:val="center"/>
              <w:rPr>
                <w:sz w:val="16"/>
                <w:szCs w:val="16"/>
              </w:rPr>
            </w:pPr>
            <w:r w:rsidRPr="009E0AEE">
              <w:rPr>
                <w:sz w:val="16"/>
                <w:szCs w:val="16"/>
              </w:rPr>
              <w:t>23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Сыворотка для клинико-химического контроля. Качества уровень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87 720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175 440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9E0AE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Сыворотка для контроля липидов уровень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  <w:tc>
          <w:tcPr>
            <w:tcW w:w="1276" w:type="dxa"/>
            <w:vAlign w:val="center"/>
          </w:tcPr>
          <w:p w:rsidR="003827F9" w:rsidRDefault="003827F9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Pr="00942CFE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Сыворотка для контроля липидов уровень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8465D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  <w:tc>
          <w:tcPr>
            <w:tcW w:w="1276" w:type="dxa"/>
            <w:vAlign w:val="center"/>
          </w:tcPr>
          <w:p w:rsidR="003827F9" w:rsidRDefault="003827F9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925" w:type="dxa"/>
            <w:vMerge/>
            <w:vAlign w:val="center"/>
          </w:tcPr>
          <w:p w:rsidR="003827F9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Антибактериальный </w:t>
            </w:r>
            <w:proofErr w:type="spellStart"/>
            <w:r>
              <w:rPr>
                <w:color w:val="auto"/>
                <w:sz w:val="18"/>
                <w:szCs w:val="18"/>
              </w:rPr>
              <w:t>безфосфорный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детергент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</w:t>
            </w:r>
            <w:r w:rsidRPr="00AB79AC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A51862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lastRenderedPageBreak/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55 800</w:t>
            </w:r>
          </w:p>
        </w:tc>
        <w:tc>
          <w:tcPr>
            <w:tcW w:w="1276" w:type="dxa"/>
            <w:vAlign w:val="center"/>
          </w:tcPr>
          <w:p w:rsidR="003827F9" w:rsidRDefault="003827F9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446 400</w:t>
            </w:r>
          </w:p>
        </w:tc>
      </w:tr>
      <w:tr w:rsidR="003827F9" w:rsidRPr="00AB79AC" w:rsidTr="003827F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827F9" w:rsidRPr="00942CFE" w:rsidRDefault="003827F9" w:rsidP="008D007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27</w:t>
            </w:r>
          </w:p>
        </w:tc>
        <w:tc>
          <w:tcPr>
            <w:tcW w:w="925" w:type="dxa"/>
            <w:vMerge/>
            <w:vAlign w:val="center"/>
          </w:tcPr>
          <w:p w:rsidR="003827F9" w:rsidRPr="00FC1AD5" w:rsidRDefault="003827F9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827F9" w:rsidRPr="00AA4FAF" w:rsidRDefault="003827F9" w:rsidP="00AA4FA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Щелочной детергент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27F9" w:rsidRPr="00AA4FAF" w:rsidRDefault="003827F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AB79AC" w:rsidRDefault="003827F9" w:rsidP="00D164CF">
            <w:pPr>
              <w:jc w:val="center"/>
              <w:rPr>
                <w:sz w:val="16"/>
                <w:szCs w:val="16"/>
              </w:rPr>
            </w:pPr>
          </w:p>
          <w:p w:rsidR="003827F9" w:rsidRPr="00AB79AC" w:rsidRDefault="003827F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7F9" w:rsidRPr="00AB79AC" w:rsidRDefault="003827F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827F9" w:rsidRPr="00AB79AC" w:rsidRDefault="003827F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827F9" w:rsidRPr="00AB79AC" w:rsidRDefault="003827F9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827F9" w:rsidRPr="003827F9" w:rsidRDefault="003827F9" w:rsidP="003827F9">
            <w:pPr>
              <w:jc w:val="center"/>
              <w:rPr>
                <w:sz w:val="16"/>
                <w:szCs w:val="16"/>
              </w:rPr>
            </w:pPr>
            <w:r w:rsidRPr="003827F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827F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7F9" w:rsidRDefault="003827F9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55 800</w:t>
            </w:r>
          </w:p>
        </w:tc>
        <w:tc>
          <w:tcPr>
            <w:tcW w:w="1276" w:type="dxa"/>
            <w:vAlign w:val="center"/>
          </w:tcPr>
          <w:p w:rsidR="003827F9" w:rsidRDefault="003827F9" w:rsidP="0043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279 000</w:t>
            </w:r>
          </w:p>
        </w:tc>
      </w:tr>
      <w:tr w:rsidR="003827F9" w:rsidRPr="00AA054C" w:rsidTr="003827F9">
        <w:trPr>
          <w:trHeight w:val="170"/>
        </w:trPr>
        <w:tc>
          <w:tcPr>
            <w:tcW w:w="12191" w:type="dxa"/>
            <w:gridSpan w:val="9"/>
            <w:shd w:val="clear" w:color="auto" w:fill="auto"/>
            <w:vAlign w:val="center"/>
          </w:tcPr>
          <w:p w:rsidR="003827F9" w:rsidRPr="00FC1AD5" w:rsidRDefault="003827F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827F9" w:rsidRPr="00FC1AD5" w:rsidRDefault="003827F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7F9" w:rsidRPr="00FC1AD5" w:rsidRDefault="003827F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827F9" w:rsidRDefault="003827F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9 189 360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7D3AF8">
        <w:rPr>
          <w:sz w:val="20"/>
          <w:szCs w:val="20"/>
        </w:rPr>
        <w:t>настоящихПравил</w:t>
      </w:r>
      <w:proofErr w:type="spellEnd"/>
      <w:r w:rsidRPr="007D3AF8">
        <w:rPr>
          <w:sz w:val="20"/>
          <w:szCs w:val="20"/>
        </w:rPr>
        <w:t>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до </w:t>
      </w:r>
      <w:r w:rsidR="009F04F2">
        <w:rPr>
          <w:color w:val="auto"/>
          <w:sz w:val="18"/>
          <w:szCs w:val="18"/>
        </w:rPr>
        <w:t>10 0</w:t>
      </w:r>
      <w:r w:rsidR="00DD2537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</w:t>
      </w:r>
      <w:proofErr w:type="gramStart"/>
      <w:r w:rsidRPr="0038298C">
        <w:rPr>
          <w:color w:val="auto"/>
          <w:sz w:val="18"/>
          <w:szCs w:val="18"/>
          <w:lang w:val="kk-KZ"/>
        </w:rPr>
        <w:t>г</w:t>
      </w:r>
      <w:proofErr w:type="gramEnd"/>
      <w:r w:rsidRPr="0038298C">
        <w:rPr>
          <w:color w:val="auto"/>
          <w:sz w:val="18"/>
          <w:szCs w:val="18"/>
          <w:lang w:val="kk-KZ"/>
        </w:rPr>
        <w:t>. Актобе)</w:t>
      </w:r>
      <w:r w:rsidR="00DC2FA5">
        <w:rPr>
          <w:color w:val="auto"/>
          <w:sz w:val="18"/>
          <w:szCs w:val="18"/>
          <w:lang w:val="kk-KZ"/>
        </w:rPr>
        <w:t xml:space="preserve">25 марта </w:t>
      </w:r>
      <w:r w:rsidR="00042E43" w:rsidRPr="00A848E2">
        <w:rPr>
          <w:color w:val="auto"/>
          <w:sz w:val="18"/>
          <w:szCs w:val="18"/>
          <w:lang w:val="kk-KZ"/>
        </w:rPr>
        <w:t xml:space="preserve"> 2022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DD2537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9F04F2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C2FA5">
        <w:rPr>
          <w:color w:val="auto"/>
          <w:sz w:val="18"/>
          <w:szCs w:val="18"/>
          <w:lang w:val="kk-KZ"/>
        </w:rPr>
        <w:t xml:space="preserve">25 марта </w:t>
      </w:r>
      <w:r w:rsidR="00042E43">
        <w:rPr>
          <w:color w:val="auto"/>
          <w:sz w:val="18"/>
          <w:szCs w:val="18"/>
          <w:lang w:val="kk-KZ"/>
        </w:rPr>
        <w:t xml:space="preserve"> 2022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spellStart"/>
      <w:proofErr w:type="gramStart"/>
      <w:r w:rsidRPr="0038298C">
        <w:rPr>
          <w:color w:val="auto"/>
          <w:sz w:val="18"/>
          <w:szCs w:val="18"/>
        </w:rPr>
        <w:t>конференц</w:t>
      </w:r>
      <w:proofErr w:type="spellEnd"/>
      <w:r w:rsidRPr="0038298C">
        <w:rPr>
          <w:color w:val="auto"/>
          <w:sz w:val="18"/>
          <w:szCs w:val="18"/>
        </w:rPr>
        <w:t>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7D3AF8">
        <w:rPr>
          <w:rStyle w:val="a9"/>
          <w:sz w:val="20"/>
          <w:szCs w:val="20"/>
        </w:rPr>
        <w:t>.В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lastRenderedPageBreak/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42E43"/>
    <w:rsid w:val="00044887"/>
    <w:rsid w:val="00047280"/>
    <w:rsid w:val="0005132A"/>
    <w:rsid w:val="000738CB"/>
    <w:rsid w:val="000852C9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264B1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7F9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4F4A"/>
    <w:rsid w:val="004B5D71"/>
    <w:rsid w:val="004C2ACB"/>
    <w:rsid w:val="004C36FB"/>
    <w:rsid w:val="004D2B7A"/>
    <w:rsid w:val="004F1B22"/>
    <w:rsid w:val="00500811"/>
    <w:rsid w:val="00522DD1"/>
    <w:rsid w:val="00523EDE"/>
    <w:rsid w:val="005441B1"/>
    <w:rsid w:val="0055455B"/>
    <w:rsid w:val="00592B03"/>
    <w:rsid w:val="005A221C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B50C7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4774"/>
    <w:rsid w:val="00884A8B"/>
    <w:rsid w:val="008C6E2D"/>
    <w:rsid w:val="008D0078"/>
    <w:rsid w:val="008D5173"/>
    <w:rsid w:val="00907035"/>
    <w:rsid w:val="00913D83"/>
    <w:rsid w:val="0093268C"/>
    <w:rsid w:val="00942CFE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0AEE"/>
    <w:rsid w:val="009E3C04"/>
    <w:rsid w:val="009E76F5"/>
    <w:rsid w:val="009F04F2"/>
    <w:rsid w:val="009F1984"/>
    <w:rsid w:val="00A000CF"/>
    <w:rsid w:val="00A01DE8"/>
    <w:rsid w:val="00A252C5"/>
    <w:rsid w:val="00A2616D"/>
    <w:rsid w:val="00A2798F"/>
    <w:rsid w:val="00A44FFD"/>
    <w:rsid w:val="00A605C6"/>
    <w:rsid w:val="00A848E2"/>
    <w:rsid w:val="00AA4FAF"/>
    <w:rsid w:val="00AA7680"/>
    <w:rsid w:val="00AB380A"/>
    <w:rsid w:val="00AB44BD"/>
    <w:rsid w:val="00AB4633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E06A7"/>
    <w:rsid w:val="00CE6413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C2FA5"/>
    <w:rsid w:val="00DD2537"/>
    <w:rsid w:val="00DD734D"/>
    <w:rsid w:val="00DF5352"/>
    <w:rsid w:val="00E03527"/>
    <w:rsid w:val="00E21421"/>
    <w:rsid w:val="00E34814"/>
    <w:rsid w:val="00E34E3B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92397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2022-01-28T05:38:00Z</cp:lastPrinted>
  <dcterms:created xsi:type="dcterms:W3CDTF">2022-03-17T12:10:00Z</dcterms:created>
  <dcterms:modified xsi:type="dcterms:W3CDTF">2022-03-17T12:13:00Z</dcterms:modified>
</cp:coreProperties>
</file>