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</w:t>
      </w:r>
      <w:r w:rsidR="00882826">
        <w:rPr>
          <w:b/>
          <w:color w:val="auto"/>
          <w:sz w:val="18"/>
          <w:szCs w:val="18"/>
          <w:lang w:val="kk-KZ"/>
        </w:rPr>
        <w:t>21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медицинских изделий </w:t>
      </w:r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826">
        <w:rPr>
          <w:color w:val="auto"/>
          <w:sz w:val="18"/>
          <w:szCs w:val="18"/>
          <w:lang w:val="kk-KZ"/>
        </w:rPr>
        <w:t>11</w:t>
      </w:r>
      <w:r w:rsidR="00E2206F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701"/>
        <w:gridCol w:w="2977"/>
        <w:gridCol w:w="708"/>
        <w:gridCol w:w="851"/>
        <w:gridCol w:w="1417"/>
        <w:gridCol w:w="1985"/>
        <w:gridCol w:w="1417"/>
        <w:gridCol w:w="709"/>
        <w:gridCol w:w="992"/>
        <w:gridCol w:w="1560"/>
      </w:tblGrid>
      <w:tr w:rsidR="004645F2" w:rsidRPr="003C4686" w:rsidTr="00233E76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97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EA2D0A" w:rsidRPr="00AB79AC" w:rsidTr="00233E7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A2D0A" w:rsidRDefault="00EA2D0A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EA2D0A" w:rsidRPr="00FC1AD5" w:rsidRDefault="00EA2D0A" w:rsidP="008828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2D0A" w:rsidRPr="00233E76" w:rsidRDefault="00233E76" w:rsidP="00233E76">
            <w:pPr>
              <w:jc w:val="center"/>
              <w:rPr>
                <w:sz w:val="18"/>
                <w:szCs w:val="18"/>
                <w:lang w:eastAsia="en-US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Набор для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вертебропластики</w:t>
            </w:r>
            <w:proofErr w:type="spellEnd"/>
            <w:r w:rsidR="00BA5B0A">
              <w:rPr>
                <w:color w:val="auto"/>
                <w:sz w:val="18"/>
                <w:szCs w:val="18"/>
              </w:rPr>
              <w:t xml:space="preserve"> (зеленая маркировка</w:t>
            </w:r>
            <w:bookmarkStart w:id="6" w:name="_GoBack"/>
            <w:bookmarkEnd w:id="6"/>
            <w:r w:rsidR="00BA5B0A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Комплект предназначен для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чрескожной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вертебропластики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при лечении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вертебральных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опухолей, компрессионных переломов тел позвонков на фоне остеопороза. Она позволяет перемешивать и вводить цемент высокой вязкости в тело позвонка.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Комплектность и характеристики: одна система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чрезкожной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вертебропластики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, включает в себя: системы смешивания/введения цемента; блок головки миксера; картридж введения; удлиняющая трубка; 1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мандрен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4-х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гранный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; 1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мандрен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со скошенным кончиком и троакар; вакуумный шланг; воронка. Миксер и шприц в одном устройстве. Герметичность системы и встроенный угольный фильтр (отсутствие запаха). Точность дозированного введения готового цемента - 0,2 см³ за половину оборота базы картриджа. Время смешивания в системе доставки: около 2-х минут. Радиационная </w:t>
            </w:r>
            <w:r w:rsidRPr="00233E76">
              <w:rPr>
                <w:color w:val="auto"/>
                <w:sz w:val="18"/>
                <w:szCs w:val="18"/>
              </w:rPr>
              <w:lastRenderedPageBreak/>
              <w:t xml:space="preserve">безопасность для врача при работе - за счет общей длины картриджа и удлиняющей трубки - длина 43 см. Маркированный картридж - визуализация количества введенного цемента. 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>Материалы: система смешивания и введения – пластмасса;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>Игла с конусным срезом (2 штуки):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• идеальное совпадение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мандрена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и троакара исключает закупорку последнего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• четырехгранные и скошенные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мандрены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взаимозаменяемы 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>• стандартный калибр 11G (3,05 мм), 13G (2,41 мм) – длина 12,7 см.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• цветовая маркировка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мандренов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и троакара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Цемент высокой вязкости (1 пачка) - Представляет собой 2 стерильно </w:t>
            </w:r>
            <w:proofErr w:type="gramStart"/>
            <w:r w:rsidRPr="00233E76">
              <w:rPr>
                <w:color w:val="auto"/>
                <w:sz w:val="18"/>
                <w:szCs w:val="18"/>
              </w:rPr>
              <w:t>упакованных</w:t>
            </w:r>
            <w:proofErr w:type="gramEnd"/>
            <w:r w:rsidRPr="00233E76">
              <w:rPr>
                <w:color w:val="auto"/>
                <w:sz w:val="18"/>
                <w:szCs w:val="18"/>
              </w:rPr>
              <w:t xml:space="preserve"> компонента: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>Один компонент: ампула, содержащая бесцветный жидкий мономер кисло-сладкого запаха 1/2 дозы 9,5мл следующего состава: Метилметакрилат (мономер) - 9,40 мл. N, N-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диметилпаратолуидин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- 0,10 мл. Гидрохинон USP- 0,75 мг.</w:t>
            </w:r>
          </w:p>
          <w:p w:rsidR="00233E76" w:rsidRPr="00233E76" w:rsidRDefault="00233E76" w:rsidP="00233E76">
            <w:pPr>
              <w:rPr>
                <w:color w:val="auto"/>
                <w:sz w:val="18"/>
                <w:szCs w:val="18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Другой компонент: пакет 1/2 дозы 20гр 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 следующего состава: Полиметилметакрилат – 14,0 гр. (включая Пероксид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Бензоила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– 2,6%). Бария Сульфат Е.</w:t>
            </w:r>
            <w:proofErr w:type="gramStart"/>
            <w:r w:rsidRPr="00233E76">
              <w:rPr>
                <w:color w:val="auto"/>
                <w:sz w:val="18"/>
                <w:szCs w:val="18"/>
              </w:rPr>
              <w:t>Р</w:t>
            </w:r>
            <w:proofErr w:type="gramEnd"/>
            <w:r w:rsidRPr="00233E76">
              <w:rPr>
                <w:color w:val="auto"/>
                <w:sz w:val="18"/>
                <w:szCs w:val="18"/>
              </w:rPr>
              <w:t xml:space="preserve"> – 6,0 гр. Во время приготовления порошок и жидкость смешиваются, превращаясь в полимерную форму, похожую на густую вязкую массу.  Температура экзотермической реакции не превышает 60˚С.Время работы – 18-23 минуты. Время схватывания цемента: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in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233E76">
              <w:rPr>
                <w:color w:val="auto"/>
                <w:sz w:val="18"/>
                <w:szCs w:val="18"/>
              </w:rPr>
              <w:t>vivo</w:t>
            </w:r>
            <w:proofErr w:type="spellEnd"/>
            <w:r w:rsidRPr="00233E76">
              <w:rPr>
                <w:color w:val="auto"/>
                <w:sz w:val="18"/>
                <w:szCs w:val="18"/>
              </w:rPr>
              <w:t xml:space="preserve"> (37ºC) 10.2 минут</w:t>
            </w:r>
          </w:p>
          <w:p w:rsidR="00EA2D0A" w:rsidRPr="00233E76" w:rsidRDefault="00233E76" w:rsidP="00233E76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33E76">
              <w:rPr>
                <w:color w:val="auto"/>
                <w:sz w:val="18"/>
                <w:szCs w:val="18"/>
              </w:rPr>
              <w:t xml:space="preserve">Имеет наивысшую устойчивость к компрессии и прочность на </w:t>
            </w:r>
            <w:proofErr w:type="gramStart"/>
            <w:r w:rsidRPr="00233E76">
              <w:rPr>
                <w:color w:val="auto"/>
                <w:sz w:val="18"/>
                <w:szCs w:val="18"/>
              </w:rPr>
              <w:t>излом</w:t>
            </w:r>
            <w:proofErr w:type="gramEnd"/>
            <w:r w:rsidRPr="00233E76">
              <w:rPr>
                <w:color w:val="auto"/>
                <w:sz w:val="18"/>
                <w:szCs w:val="18"/>
              </w:rPr>
              <w:t xml:space="preserve"> и    наименьшую усадку и пористость.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2D0A" w:rsidRPr="004B37D8" w:rsidRDefault="00233E76" w:rsidP="00EA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D0A" w:rsidRPr="004B37D8" w:rsidRDefault="00233E76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</w:p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EA2D0A" w:rsidRPr="00AB79AC" w:rsidRDefault="00EA2D0A" w:rsidP="00EA2D0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D0A" w:rsidRPr="004B37D8" w:rsidRDefault="00233E76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262 500</w:t>
            </w:r>
          </w:p>
        </w:tc>
        <w:tc>
          <w:tcPr>
            <w:tcW w:w="1560" w:type="dxa"/>
            <w:vAlign w:val="center"/>
          </w:tcPr>
          <w:p w:rsidR="00EA2D0A" w:rsidRPr="004B37D8" w:rsidRDefault="00233E76" w:rsidP="00EA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262 500</w:t>
            </w:r>
          </w:p>
        </w:tc>
      </w:tr>
      <w:tr w:rsidR="00B66C51" w:rsidRPr="00AA054C" w:rsidTr="00233E76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66C51" w:rsidRDefault="00233E7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262 500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 w:rsidR="007A5D84">
        <w:rPr>
          <w:sz w:val="20"/>
          <w:szCs w:val="20"/>
        </w:rPr>
        <w:t>8</w:t>
      </w:r>
      <w:r w:rsidRPr="007D3AF8">
        <w:rPr>
          <w:sz w:val="20"/>
          <w:szCs w:val="20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882826">
        <w:rPr>
          <w:color w:val="auto"/>
          <w:sz w:val="18"/>
          <w:szCs w:val="18"/>
        </w:rPr>
        <w:t>3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F258FA">
        <w:rPr>
          <w:color w:val="auto"/>
          <w:sz w:val="18"/>
          <w:szCs w:val="18"/>
          <w:lang w:val="kk-KZ"/>
        </w:rPr>
        <w:t>1</w:t>
      </w:r>
      <w:r w:rsidR="00882826">
        <w:rPr>
          <w:color w:val="auto"/>
          <w:sz w:val="18"/>
          <w:szCs w:val="18"/>
          <w:lang w:val="kk-KZ"/>
        </w:rPr>
        <w:t>8</w:t>
      </w:r>
      <w:r w:rsidR="00F14B69">
        <w:rPr>
          <w:color w:val="auto"/>
          <w:sz w:val="18"/>
          <w:szCs w:val="18"/>
          <w:lang w:val="kk-KZ"/>
        </w:rPr>
        <w:t>.0</w:t>
      </w:r>
      <w:r w:rsidR="00BA64AC">
        <w:rPr>
          <w:color w:val="auto"/>
          <w:sz w:val="18"/>
          <w:szCs w:val="18"/>
          <w:lang w:val="kk-KZ"/>
        </w:rPr>
        <w:t>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882826">
        <w:rPr>
          <w:color w:val="auto"/>
          <w:sz w:val="18"/>
          <w:szCs w:val="18"/>
        </w:rPr>
        <w:t>3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F258FA">
        <w:rPr>
          <w:color w:val="auto"/>
          <w:sz w:val="18"/>
          <w:szCs w:val="18"/>
          <w:lang w:val="kk-KZ"/>
        </w:rPr>
        <w:t>1</w:t>
      </w:r>
      <w:r w:rsidR="00882826">
        <w:rPr>
          <w:color w:val="auto"/>
          <w:sz w:val="18"/>
          <w:szCs w:val="18"/>
          <w:lang w:val="kk-KZ"/>
        </w:rPr>
        <w:t>8</w:t>
      </w:r>
      <w:r w:rsidR="00BA64AC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33E76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13649"/>
    <w:rsid w:val="00821425"/>
    <w:rsid w:val="0082190D"/>
    <w:rsid w:val="008340F9"/>
    <w:rsid w:val="0085002E"/>
    <w:rsid w:val="008533D6"/>
    <w:rsid w:val="0087659E"/>
    <w:rsid w:val="00880216"/>
    <w:rsid w:val="0088282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5B0A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25F"/>
    <w:rsid w:val="00DD734D"/>
    <w:rsid w:val="00DF5352"/>
    <w:rsid w:val="00E046F7"/>
    <w:rsid w:val="00E110E7"/>
    <w:rsid w:val="00E21421"/>
    <w:rsid w:val="00E2206F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C612-309B-48DF-8D8D-688B898E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2022-02-11T05:29:00Z</cp:lastPrinted>
  <dcterms:created xsi:type="dcterms:W3CDTF">2022-02-11T05:23:00Z</dcterms:created>
  <dcterms:modified xsi:type="dcterms:W3CDTF">2022-02-11T05:50:00Z</dcterms:modified>
</cp:coreProperties>
</file>