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2" w:rsidRDefault="00917192" w:rsidP="0091719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</w:t>
      </w:r>
      <w:r>
        <w:rPr>
          <w:b/>
          <w:color w:val="auto"/>
          <w:sz w:val="18"/>
          <w:szCs w:val="18"/>
          <w:lang w:val="kk-KZ"/>
        </w:rPr>
        <w:t>9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Pr="008B34E7">
        <w:rPr>
          <w:b/>
          <w:sz w:val="18"/>
          <w:szCs w:val="18"/>
        </w:rPr>
        <w:t xml:space="preserve">реагенты для автоматического биохимического анализатора </w:t>
      </w:r>
      <w:proofErr w:type="spellStart"/>
      <w:r w:rsidRPr="008B34E7">
        <w:rPr>
          <w:b/>
          <w:sz w:val="18"/>
          <w:szCs w:val="18"/>
        </w:rPr>
        <w:t>Эрба</w:t>
      </w:r>
      <w:proofErr w:type="spellEnd"/>
      <w:r w:rsidRPr="008B34E7">
        <w:rPr>
          <w:b/>
          <w:sz w:val="18"/>
          <w:szCs w:val="18"/>
        </w:rPr>
        <w:t xml:space="preserve"> </w:t>
      </w:r>
      <w:r w:rsidRPr="008B34E7">
        <w:rPr>
          <w:b/>
          <w:sz w:val="18"/>
          <w:szCs w:val="18"/>
          <w:lang w:val="en-US"/>
        </w:rPr>
        <w:t>XL</w:t>
      </w:r>
      <w:r w:rsidRPr="008B34E7">
        <w:rPr>
          <w:b/>
          <w:sz w:val="18"/>
          <w:szCs w:val="18"/>
        </w:rPr>
        <w:t>-100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10.02.2022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2835"/>
        <w:gridCol w:w="850"/>
        <w:gridCol w:w="567"/>
        <w:gridCol w:w="1560"/>
        <w:gridCol w:w="1842"/>
        <w:gridCol w:w="1276"/>
        <w:gridCol w:w="851"/>
        <w:gridCol w:w="850"/>
        <w:gridCol w:w="1985"/>
      </w:tblGrid>
      <w:tr w:rsidR="00626D21" w:rsidRPr="003C4686" w:rsidTr="00346008">
        <w:trPr>
          <w:trHeight w:val="788"/>
        </w:trPr>
        <w:tc>
          <w:tcPr>
            <w:tcW w:w="635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626D21" w:rsidRPr="009D3F1E" w:rsidRDefault="00626D21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626D21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D21" w:rsidRPr="005B28A5" w:rsidRDefault="00626D21" w:rsidP="00346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626D21" w:rsidRPr="009D3F1E" w:rsidRDefault="00626D21" w:rsidP="00626D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626D21" w:rsidRDefault="00626D21" w:rsidP="008E2334">
            <w:pPr>
              <w:jc w:val="center"/>
            </w:pPr>
            <w: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Амилаза  110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Растворы бесцветные во флаконах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1: 5х22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, для определения амилазы.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8E2334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122 000</w:t>
            </w:r>
          </w:p>
        </w:tc>
        <w:bookmarkStart w:id="6" w:name="_GoBack"/>
        <w:bookmarkEnd w:id="6"/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vMerge/>
            <w:vAlign w:val="center"/>
          </w:tcPr>
          <w:p w:rsidR="00626D21" w:rsidRDefault="00626D21" w:rsidP="008E233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ЛПВП-Холестерин прямой 160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Растворы бесцветные во флаконах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1:4х30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2: 4х10ml(</w:t>
            </w:r>
            <w:proofErr w:type="spellStart"/>
            <w:r w:rsidRPr="00626D21">
              <w:rPr>
                <w:sz w:val="16"/>
                <w:szCs w:val="16"/>
              </w:rPr>
              <w:t>биреактив</w:t>
            </w:r>
            <w:proofErr w:type="spellEnd"/>
            <w:r w:rsidRPr="00626D21">
              <w:rPr>
                <w:sz w:val="16"/>
                <w:szCs w:val="16"/>
              </w:rPr>
              <w:t>), для определения липопротеидов высокой плотности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381 600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Merge/>
            <w:vAlign w:val="center"/>
          </w:tcPr>
          <w:p w:rsidR="00626D21" w:rsidRDefault="00626D21" w:rsidP="008E233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ЛПНП-Холестерин прямой 80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Растворы бесцветные во флаконах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1:4х30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2: 4х10ml(</w:t>
            </w:r>
            <w:proofErr w:type="spellStart"/>
            <w:r w:rsidRPr="00626D21">
              <w:rPr>
                <w:sz w:val="16"/>
                <w:szCs w:val="16"/>
              </w:rPr>
              <w:t>биреактив</w:t>
            </w:r>
            <w:proofErr w:type="spellEnd"/>
            <w:r w:rsidRPr="00626D21">
              <w:rPr>
                <w:sz w:val="16"/>
                <w:szCs w:val="16"/>
              </w:rPr>
              <w:t>), для определения липопротеидов низкой плотности.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F17E70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605 000</w:t>
            </w:r>
          </w:p>
        </w:tc>
      </w:tr>
      <w:tr w:rsidR="00626D21" w:rsidRPr="00AA054C" w:rsidTr="00346008">
        <w:trPr>
          <w:trHeight w:val="547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Merge/>
            <w:vAlign w:val="center"/>
          </w:tcPr>
          <w:p w:rsidR="00626D21" w:rsidRDefault="00626D21" w:rsidP="008E233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  <w:lang w:val="en-US"/>
              </w:rPr>
              <w:t>XL</w:t>
            </w:r>
            <w:proofErr w:type="spellStart"/>
            <w:r w:rsidRPr="00626D21">
              <w:rPr>
                <w:sz w:val="16"/>
                <w:szCs w:val="16"/>
              </w:rPr>
              <w:t>Мультикалибратор</w:t>
            </w:r>
            <w:proofErr w:type="spellEnd"/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Растворы бесцветные во флаконах 4х3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,для калибровки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липопротеидов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65 400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vMerge/>
            <w:vAlign w:val="center"/>
          </w:tcPr>
          <w:p w:rsidR="00626D21" w:rsidRDefault="00626D21" w:rsidP="008E233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Контрольная сыворотка «Норма»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Растворы бесцветные во флаконах 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1:4х5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2: 1х20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 для калибровки  липопротеидов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55 950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vMerge/>
            <w:vAlign w:val="center"/>
          </w:tcPr>
          <w:p w:rsidR="00626D21" w:rsidRDefault="00626D21" w:rsidP="008E233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Контрольная сыворотка «</w:t>
            </w:r>
            <w:proofErr w:type="spellStart"/>
            <w:r w:rsidRPr="00626D21">
              <w:rPr>
                <w:sz w:val="16"/>
                <w:szCs w:val="16"/>
              </w:rPr>
              <w:t>Потология</w:t>
            </w:r>
            <w:proofErr w:type="spellEnd"/>
            <w:r w:rsidRPr="00626D21">
              <w:rPr>
                <w:sz w:val="16"/>
                <w:szCs w:val="16"/>
              </w:rPr>
              <w:t>»</w:t>
            </w:r>
          </w:p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Растворы бесцветные во флаконах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1:4х5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</w:t>
            </w:r>
            <w:r w:rsidRPr="00626D21">
              <w:rPr>
                <w:sz w:val="16"/>
                <w:szCs w:val="16"/>
                <w:lang w:val="en-US"/>
              </w:rPr>
              <w:t>R</w:t>
            </w:r>
            <w:r w:rsidRPr="00626D21">
              <w:rPr>
                <w:sz w:val="16"/>
                <w:szCs w:val="16"/>
              </w:rPr>
              <w:t>2: 1х20</w:t>
            </w:r>
            <w:r w:rsidRPr="00626D21">
              <w:rPr>
                <w:sz w:val="16"/>
                <w:szCs w:val="16"/>
                <w:lang w:val="en-US"/>
              </w:rPr>
              <w:t>ml</w:t>
            </w:r>
            <w:r w:rsidRPr="00626D21">
              <w:rPr>
                <w:sz w:val="16"/>
                <w:szCs w:val="16"/>
              </w:rPr>
              <w:t xml:space="preserve">  для калибровки липопротеидов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ED363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55 950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vMerge/>
            <w:vAlign w:val="center"/>
          </w:tcPr>
          <w:p w:rsidR="00626D21" w:rsidRPr="00A75381" w:rsidRDefault="00626D21" w:rsidP="008E2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Промывочный р-р</w:t>
            </w:r>
          </w:p>
        </w:tc>
        <w:tc>
          <w:tcPr>
            <w:tcW w:w="2835" w:type="dxa"/>
            <w:vAlign w:val="center"/>
          </w:tcPr>
          <w:p w:rsidR="00626D21" w:rsidRDefault="00626D21" w:rsidP="00626D2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Промывочный раствор  для проточной кюветы</w:t>
            </w:r>
          </w:p>
          <w:p w:rsidR="00626D21" w:rsidRPr="00626D21" w:rsidRDefault="00626D21" w:rsidP="00626D2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4х100мл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626D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B3196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B3196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B3196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B31969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626D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47 200</w:t>
            </w:r>
          </w:p>
        </w:tc>
      </w:tr>
      <w:tr w:rsidR="00626D21" w:rsidRPr="00AA054C" w:rsidTr="00346008">
        <w:trPr>
          <w:trHeight w:val="170"/>
        </w:trPr>
        <w:tc>
          <w:tcPr>
            <w:tcW w:w="13892" w:type="dxa"/>
            <w:gridSpan w:val="11"/>
            <w:shd w:val="clear" w:color="auto" w:fill="auto"/>
            <w:vAlign w:val="center"/>
          </w:tcPr>
          <w:p w:rsidR="00626D21" w:rsidRPr="00DD4B80" w:rsidRDefault="00626D21" w:rsidP="00F17E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lastRenderedPageBreak/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DD4B80" w:rsidRDefault="00626D21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1 333 100</w:t>
            </w:r>
          </w:p>
        </w:tc>
      </w:tr>
    </w:tbl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917192" w:rsidRDefault="00917192" w:rsidP="00917192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917192" w:rsidRPr="0038298C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>
        <w:rPr>
          <w:color w:val="auto"/>
          <w:sz w:val="18"/>
          <w:szCs w:val="18"/>
        </w:rPr>
        <w:t>10.</w:t>
      </w:r>
      <w:r>
        <w:rPr>
          <w:color w:val="auto"/>
          <w:sz w:val="18"/>
          <w:szCs w:val="18"/>
        </w:rPr>
        <w:t>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>16.02.2022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917192" w:rsidRPr="0038298C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11.</w:t>
      </w:r>
      <w:r>
        <w:rPr>
          <w:color w:val="auto"/>
          <w:sz w:val="18"/>
          <w:szCs w:val="18"/>
        </w:rPr>
        <w:t>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>
        <w:rPr>
          <w:color w:val="auto"/>
          <w:sz w:val="18"/>
          <w:szCs w:val="18"/>
          <w:lang w:val="kk-KZ"/>
        </w:rPr>
        <w:t>16.02.2022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917192" w:rsidRDefault="00917192" w:rsidP="0091719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917192" w:rsidRPr="007D3AF8" w:rsidRDefault="00917192" w:rsidP="00917192">
      <w:pPr>
        <w:rPr>
          <w:color w:val="auto"/>
          <w:sz w:val="20"/>
          <w:szCs w:val="20"/>
        </w:rPr>
      </w:pPr>
      <w:r>
        <w:rPr>
          <w:rStyle w:val="a7"/>
        </w:rPr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17192" w:rsidRPr="007D3AF8" w:rsidRDefault="00917192" w:rsidP="00917192">
      <w:pPr>
        <w:rPr>
          <w:sz w:val="20"/>
          <w:szCs w:val="20"/>
        </w:rPr>
      </w:pPr>
      <w:proofErr w:type="gramStart"/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8"/>
          <w:sz w:val="20"/>
          <w:szCs w:val="20"/>
        </w:rPr>
        <w:t xml:space="preserve"> </w:t>
      </w:r>
      <w:proofErr w:type="gramStart"/>
      <w:r w:rsidRPr="007D3AF8">
        <w:rPr>
          <w:rStyle w:val="a8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7192" w:rsidRPr="007D3AF8" w:rsidRDefault="00917192" w:rsidP="00917192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917192" w:rsidRPr="007D3AF8" w:rsidRDefault="00917192" w:rsidP="00917192">
      <w:pPr>
        <w:shd w:val="clear" w:color="auto" w:fill="FFFFFF"/>
        <w:jc w:val="both"/>
        <w:rPr>
          <w:sz w:val="20"/>
          <w:szCs w:val="20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6392C"/>
    <w:rsid w:val="00274430"/>
    <w:rsid w:val="00287BF1"/>
    <w:rsid w:val="002D35A2"/>
    <w:rsid w:val="00302010"/>
    <w:rsid w:val="0034128C"/>
    <w:rsid w:val="003446CD"/>
    <w:rsid w:val="00346008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6D21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2334"/>
    <w:rsid w:val="008E6C33"/>
    <w:rsid w:val="00917192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2020-02-19T09:43:00Z</cp:lastPrinted>
  <dcterms:created xsi:type="dcterms:W3CDTF">2022-02-10T09:34:00Z</dcterms:created>
  <dcterms:modified xsi:type="dcterms:W3CDTF">2022-02-10T10:06:00Z</dcterms:modified>
</cp:coreProperties>
</file>