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1C556F">
        <w:rPr>
          <w:b/>
          <w:color w:val="auto"/>
          <w:sz w:val="16"/>
          <w:szCs w:val="16"/>
          <w:lang w:val="kk-KZ"/>
        </w:rPr>
        <w:t>49</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042600"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w:t>
      </w:r>
      <w:r w:rsidR="00B47216">
        <w:rPr>
          <w:b/>
          <w:color w:val="auto"/>
          <w:sz w:val="20"/>
          <w:szCs w:val="20"/>
          <w:lang w:val="kk-KZ"/>
        </w:rPr>
        <w:t>дар</w:t>
      </w:r>
      <w:r w:rsidR="00812C44">
        <w:rPr>
          <w:b/>
          <w:color w:val="auto"/>
          <w:sz w:val="20"/>
          <w:szCs w:val="20"/>
          <w:lang w:val="kk-KZ"/>
        </w:rPr>
        <w:t>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B47216">
        <w:rPr>
          <w:color w:val="auto"/>
          <w:sz w:val="16"/>
          <w:szCs w:val="16"/>
          <w:lang w:val="kk-KZ"/>
        </w:rPr>
        <w:t>03</w:t>
      </w:r>
      <w:r w:rsidR="001C556F">
        <w:rPr>
          <w:color w:val="auto"/>
          <w:sz w:val="16"/>
          <w:szCs w:val="16"/>
          <w:lang w:val="kk-KZ"/>
        </w:rPr>
        <w:t>.05</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7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5"/>
        <w:gridCol w:w="852"/>
        <w:gridCol w:w="1416"/>
        <w:gridCol w:w="2410"/>
        <w:gridCol w:w="993"/>
        <w:gridCol w:w="566"/>
        <w:gridCol w:w="993"/>
        <w:gridCol w:w="1701"/>
        <w:gridCol w:w="1417"/>
        <w:gridCol w:w="992"/>
        <w:gridCol w:w="1843"/>
        <w:gridCol w:w="992"/>
        <w:gridCol w:w="1135"/>
      </w:tblGrid>
      <w:tr w:rsidR="001077E7" w:rsidRPr="00E67C6B" w:rsidTr="00C57EEA">
        <w:trPr>
          <w:trHeight w:val="587"/>
        </w:trPr>
        <w:tc>
          <w:tcPr>
            <w:tcW w:w="425" w:type="dxa"/>
            <w:shd w:val="clear" w:color="auto" w:fill="auto"/>
            <w:vAlign w:val="center"/>
          </w:tcPr>
          <w:p w:rsidR="00AF1E2F" w:rsidRPr="003408AC" w:rsidRDefault="00AF1E2F" w:rsidP="00407F92">
            <w:pPr>
              <w:jc w:val="center"/>
              <w:rPr>
                <w:b/>
                <w:bCs/>
                <w:sz w:val="14"/>
                <w:szCs w:val="14"/>
              </w:rPr>
            </w:pPr>
            <w:r w:rsidRPr="003408AC">
              <w:rPr>
                <w:b/>
                <w:bCs/>
                <w:sz w:val="14"/>
                <w:szCs w:val="14"/>
              </w:rPr>
              <w:t>№ лота</w:t>
            </w:r>
          </w:p>
        </w:tc>
        <w:tc>
          <w:tcPr>
            <w:tcW w:w="852"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41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2410" w:type="dxa"/>
          </w:tcPr>
          <w:p w:rsidR="00AF1E2F" w:rsidRPr="003408AC" w:rsidRDefault="00AF1E2F" w:rsidP="00407F92">
            <w:pPr>
              <w:jc w:val="center"/>
              <w:rPr>
                <w:b/>
                <w:bCs/>
                <w:sz w:val="14"/>
                <w:szCs w:val="14"/>
              </w:rPr>
            </w:pPr>
          </w:p>
          <w:p w:rsidR="00AF1E2F" w:rsidRPr="003408AC" w:rsidRDefault="00AF1E2F" w:rsidP="00407F92">
            <w:pPr>
              <w:jc w:val="center"/>
              <w:rPr>
                <w:b/>
                <w:bCs/>
                <w:sz w:val="14"/>
                <w:szCs w:val="14"/>
                <w:lang w:val="kk-KZ"/>
              </w:rPr>
            </w:pPr>
            <w:r w:rsidRPr="003408AC">
              <w:rPr>
                <w:b/>
                <w:bCs/>
                <w:sz w:val="14"/>
                <w:szCs w:val="14"/>
                <w:lang w:val="kk-KZ"/>
              </w:rPr>
              <w:t>Техникалық сипаттамасы</w:t>
            </w:r>
          </w:p>
        </w:tc>
        <w:tc>
          <w:tcPr>
            <w:tcW w:w="993"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566"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9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сәйкес)</w:t>
            </w:r>
          </w:p>
        </w:tc>
        <w:tc>
          <w:tcPr>
            <w:tcW w:w="1701"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w:t>
            </w:r>
            <w:proofErr w:type="gramStart"/>
            <w:r w:rsidRPr="003408AC">
              <w:rPr>
                <w:b/>
                <w:sz w:val="14"/>
                <w:szCs w:val="14"/>
              </w:rPr>
              <w:t>м</w:t>
            </w:r>
            <w:proofErr w:type="gramEnd"/>
            <w:r w:rsidRPr="003408AC">
              <w:rPr>
                <w:b/>
                <w:sz w:val="14"/>
                <w:szCs w:val="14"/>
              </w:rPr>
              <w:t>і</w:t>
            </w:r>
            <w:proofErr w:type="spellEnd"/>
          </w:p>
        </w:tc>
        <w:tc>
          <w:tcPr>
            <w:tcW w:w="141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992"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843"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992"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135"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7A5C88" w:rsidRPr="00407F92" w:rsidTr="00C57EEA">
        <w:trPr>
          <w:trHeight w:val="587"/>
        </w:trPr>
        <w:tc>
          <w:tcPr>
            <w:tcW w:w="425" w:type="dxa"/>
            <w:shd w:val="clear" w:color="auto" w:fill="auto"/>
            <w:vAlign w:val="center"/>
          </w:tcPr>
          <w:p w:rsidR="007A5C88" w:rsidRPr="00ED6EE8" w:rsidRDefault="007A5C88" w:rsidP="00407F92">
            <w:pPr>
              <w:jc w:val="center"/>
              <w:rPr>
                <w:bCs/>
                <w:sz w:val="18"/>
                <w:szCs w:val="14"/>
                <w:lang w:val="kk-KZ"/>
              </w:rPr>
            </w:pPr>
            <w:r w:rsidRPr="00ED6EE8">
              <w:rPr>
                <w:bCs/>
                <w:sz w:val="18"/>
                <w:szCs w:val="14"/>
                <w:lang w:val="kk-KZ"/>
              </w:rPr>
              <w:t>1</w:t>
            </w:r>
          </w:p>
        </w:tc>
        <w:tc>
          <w:tcPr>
            <w:tcW w:w="852" w:type="dxa"/>
            <w:vAlign w:val="center"/>
          </w:tcPr>
          <w:p w:rsidR="007A5C88" w:rsidRPr="003408AC" w:rsidRDefault="007A5C88" w:rsidP="00407F92">
            <w:pPr>
              <w:jc w:val="center"/>
              <w:rPr>
                <w:b/>
                <w:sz w:val="14"/>
                <w:szCs w:val="14"/>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9F35A2" w:rsidRDefault="009F35A2" w:rsidP="009F35A2">
            <w:pPr>
              <w:pStyle w:val="a7"/>
              <w:spacing w:before="0" w:beforeAutospacing="0" w:after="360" w:afterAutospacing="0"/>
              <w:textAlignment w:val="baseline"/>
              <w:rPr>
                <w:color w:val="000000"/>
                <w:spacing w:val="2"/>
                <w:sz w:val="18"/>
                <w:szCs w:val="18"/>
                <w:lang w:val="kk-KZ"/>
              </w:rPr>
            </w:pPr>
          </w:p>
          <w:p w:rsidR="007A5C88" w:rsidRPr="00C57EEA" w:rsidRDefault="00C57EEA" w:rsidP="007A5C88">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en-US"/>
              </w:rPr>
              <w:t>Actin</w:t>
            </w:r>
            <w:r w:rsidRPr="00C57EEA">
              <w:rPr>
                <w:color w:val="000000"/>
                <w:spacing w:val="2"/>
                <w:sz w:val="18"/>
                <w:szCs w:val="18"/>
              </w:rPr>
              <w:t xml:space="preserve"> 10*10 </w:t>
            </w:r>
            <w:r>
              <w:rPr>
                <w:color w:val="000000"/>
                <w:spacing w:val="2"/>
                <w:sz w:val="18"/>
                <w:szCs w:val="18"/>
                <w:lang w:val="en-US"/>
              </w:rPr>
              <w:t>ml</w:t>
            </w:r>
            <w:r w:rsidRPr="00C57EEA">
              <w:rPr>
                <w:color w:val="000000"/>
                <w:spacing w:val="2"/>
                <w:sz w:val="18"/>
                <w:szCs w:val="18"/>
              </w:rPr>
              <w:t xml:space="preserve"> </w:t>
            </w:r>
            <w:r>
              <w:rPr>
                <w:color w:val="000000"/>
                <w:spacing w:val="2"/>
                <w:sz w:val="18"/>
                <w:szCs w:val="18"/>
                <w:lang w:val="kk-KZ"/>
              </w:rPr>
              <w:t>(для определения АЧТВ)</w:t>
            </w:r>
          </w:p>
        </w:tc>
        <w:tc>
          <w:tcPr>
            <w:tcW w:w="2410" w:type="dxa"/>
          </w:tcPr>
          <w:p w:rsidR="009F35A2" w:rsidRDefault="009F35A2" w:rsidP="007A5C88">
            <w:pPr>
              <w:pStyle w:val="a7"/>
              <w:spacing w:before="0" w:beforeAutospacing="0" w:after="360" w:afterAutospacing="0"/>
              <w:jc w:val="center"/>
              <w:textAlignment w:val="baseline"/>
              <w:rPr>
                <w:color w:val="000000"/>
                <w:spacing w:val="2"/>
                <w:sz w:val="18"/>
                <w:szCs w:val="18"/>
                <w:lang w:val="kk-KZ"/>
              </w:rPr>
            </w:pPr>
          </w:p>
          <w:p w:rsidR="007A5C88" w:rsidRPr="00F23546" w:rsidRDefault="00C57EEA" w:rsidP="00C57EEA">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en-US"/>
              </w:rPr>
              <w:t>Actin</w:t>
            </w:r>
            <w:r w:rsidRPr="00C57EEA">
              <w:rPr>
                <w:color w:val="000000"/>
                <w:spacing w:val="2"/>
                <w:sz w:val="18"/>
                <w:szCs w:val="18"/>
              </w:rPr>
              <w:t xml:space="preserve"> 10*10 </w:t>
            </w:r>
            <w:r>
              <w:rPr>
                <w:color w:val="000000"/>
                <w:spacing w:val="2"/>
                <w:sz w:val="18"/>
                <w:szCs w:val="18"/>
                <w:lang w:val="en-US"/>
              </w:rPr>
              <w:t>ml</w:t>
            </w:r>
            <w:r w:rsidRPr="00C57EEA">
              <w:rPr>
                <w:color w:val="000000"/>
                <w:spacing w:val="2"/>
                <w:sz w:val="18"/>
                <w:szCs w:val="18"/>
              </w:rPr>
              <w:t xml:space="preserve"> </w:t>
            </w:r>
            <w:r>
              <w:rPr>
                <w:color w:val="000000"/>
                <w:spacing w:val="2"/>
                <w:sz w:val="18"/>
                <w:szCs w:val="18"/>
                <w:lang w:val="kk-KZ"/>
              </w:rPr>
              <w:t>(для определения АЧТВ)</w:t>
            </w:r>
          </w:p>
        </w:tc>
        <w:tc>
          <w:tcPr>
            <w:tcW w:w="993" w:type="dxa"/>
            <w:shd w:val="clear" w:color="auto" w:fill="auto"/>
            <w:vAlign w:val="center"/>
          </w:tcPr>
          <w:p w:rsidR="007A5C88" w:rsidRDefault="00C57EEA" w:rsidP="007A5C88">
            <w:pPr>
              <w:jc w:val="center"/>
              <w:rPr>
                <w:sz w:val="18"/>
                <w:szCs w:val="18"/>
                <w:lang w:val="kk-KZ"/>
              </w:rPr>
            </w:pPr>
            <w:r>
              <w:rPr>
                <w:sz w:val="18"/>
                <w:szCs w:val="18"/>
                <w:lang w:val="kk-KZ"/>
              </w:rPr>
              <w:t>Бума</w:t>
            </w:r>
          </w:p>
          <w:p w:rsidR="00C57EEA" w:rsidRPr="006B79E0" w:rsidRDefault="00C57EEA" w:rsidP="007A5C88">
            <w:pPr>
              <w:jc w:val="center"/>
              <w:rPr>
                <w:sz w:val="18"/>
                <w:szCs w:val="18"/>
                <w:lang w:val="kk-KZ"/>
              </w:rPr>
            </w:pPr>
            <w:r>
              <w:rPr>
                <w:sz w:val="18"/>
                <w:szCs w:val="18"/>
                <w:lang w:val="kk-KZ"/>
              </w:rPr>
              <w:t>(упаковка)</w:t>
            </w:r>
          </w:p>
        </w:tc>
        <w:tc>
          <w:tcPr>
            <w:tcW w:w="566" w:type="dxa"/>
            <w:shd w:val="clear" w:color="auto" w:fill="auto"/>
            <w:vAlign w:val="center"/>
          </w:tcPr>
          <w:p w:rsidR="007A5C88" w:rsidRPr="00CB35A1" w:rsidRDefault="00C57EEA" w:rsidP="007A5C88">
            <w:pPr>
              <w:jc w:val="center"/>
              <w:rPr>
                <w:sz w:val="16"/>
                <w:szCs w:val="16"/>
                <w:lang w:val="kk-KZ"/>
              </w:rPr>
            </w:pPr>
            <w:r>
              <w:rPr>
                <w:sz w:val="16"/>
                <w:szCs w:val="16"/>
                <w:lang w:val="kk-KZ"/>
              </w:rPr>
              <w:t>3</w:t>
            </w:r>
          </w:p>
        </w:tc>
        <w:tc>
          <w:tcPr>
            <w:tcW w:w="993" w:type="dxa"/>
            <w:shd w:val="clear" w:color="auto" w:fill="auto"/>
            <w:vAlign w:val="center"/>
          </w:tcPr>
          <w:p w:rsidR="007A5C88" w:rsidRPr="00132AEB" w:rsidRDefault="007A5C88" w:rsidP="00407F92">
            <w:pPr>
              <w:jc w:val="center"/>
              <w:rPr>
                <w:sz w:val="16"/>
                <w:szCs w:val="16"/>
                <w:lang w:val="kk-KZ"/>
              </w:rPr>
            </w:pPr>
          </w:p>
          <w:p w:rsidR="007A5C88" w:rsidRPr="00132AEB" w:rsidRDefault="007A5C88" w:rsidP="00407F92">
            <w:pPr>
              <w:jc w:val="center"/>
              <w:rPr>
                <w:sz w:val="16"/>
                <w:szCs w:val="16"/>
                <w:lang w:val="kk-KZ"/>
              </w:rPr>
            </w:pPr>
            <w:r w:rsidRPr="00132AEB">
              <w:rPr>
                <w:sz w:val="16"/>
                <w:szCs w:val="16"/>
                <w:lang w:val="kk-KZ"/>
              </w:rPr>
              <w:t>DDP</w:t>
            </w:r>
          </w:p>
        </w:tc>
        <w:tc>
          <w:tcPr>
            <w:tcW w:w="1701" w:type="dxa"/>
            <w:shd w:val="clear" w:color="auto" w:fill="auto"/>
            <w:vAlign w:val="center"/>
          </w:tcPr>
          <w:p w:rsidR="007A5C88" w:rsidRPr="00132AEB" w:rsidRDefault="007A5C88" w:rsidP="00407F92">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7A5C88" w:rsidRPr="00132AEB" w:rsidRDefault="007A5C88" w:rsidP="00407F92">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7A5C88" w:rsidRPr="00132AEB" w:rsidRDefault="007A5C88" w:rsidP="00407F92">
            <w:pPr>
              <w:jc w:val="center"/>
              <w:rPr>
                <w:sz w:val="16"/>
                <w:szCs w:val="16"/>
                <w:lang w:val="kk-KZ"/>
              </w:rPr>
            </w:pPr>
            <w:r w:rsidRPr="00132AEB">
              <w:rPr>
                <w:sz w:val="16"/>
                <w:szCs w:val="16"/>
                <w:lang w:val="kk-KZ"/>
              </w:rPr>
              <w:t>0</w:t>
            </w:r>
          </w:p>
        </w:tc>
        <w:tc>
          <w:tcPr>
            <w:tcW w:w="1843" w:type="dxa"/>
            <w:vAlign w:val="center"/>
          </w:tcPr>
          <w:p w:rsidR="007A5C88" w:rsidRPr="00132AEB" w:rsidRDefault="007A5C88" w:rsidP="00407F92">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7A5C88" w:rsidRPr="00F33BEF" w:rsidRDefault="00C57EEA" w:rsidP="009E5EAB">
            <w:pPr>
              <w:jc w:val="center"/>
              <w:rPr>
                <w:sz w:val="18"/>
                <w:szCs w:val="18"/>
                <w:lang w:val="kk-KZ"/>
              </w:rPr>
            </w:pPr>
            <w:r>
              <w:rPr>
                <w:sz w:val="18"/>
                <w:szCs w:val="18"/>
                <w:lang w:val="kk-KZ"/>
              </w:rPr>
              <w:t>157 800</w:t>
            </w:r>
          </w:p>
        </w:tc>
        <w:tc>
          <w:tcPr>
            <w:tcW w:w="1135" w:type="dxa"/>
            <w:vAlign w:val="center"/>
          </w:tcPr>
          <w:p w:rsidR="007A5C88" w:rsidRPr="00DC6F8A" w:rsidRDefault="00C57EEA" w:rsidP="009E5EAB">
            <w:pPr>
              <w:jc w:val="center"/>
              <w:rPr>
                <w:sz w:val="16"/>
                <w:szCs w:val="16"/>
                <w:lang w:val="kk-KZ"/>
              </w:rPr>
            </w:pPr>
            <w:r>
              <w:rPr>
                <w:sz w:val="16"/>
                <w:szCs w:val="16"/>
                <w:lang w:val="kk-KZ"/>
              </w:rPr>
              <w:t>473 400</w:t>
            </w:r>
          </w:p>
        </w:tc>
      </w:tr>
      <w:tr w:rsidR="001C556F" w:rsidRPr="00407F92" w:rsidTr="00C57EEA">
        <w:trPr>
          <w:trHeight w:val="587"/>
        </w:trPr>
        <w:tc>
          <w:tcPr>
            <w:tcW w:w="425" w:type="dxa"/>
            <w:shd w:val="clear" w:color="auto" w:fill="auto"/>
            <w:vAlign w:val="center"/>
          </w:tcPr>
          <w:p w:rsidR="001C556F" w:rsidRPr="00ED6EE8" w:rsidRDefault="001C556F" w:rsidP="00407F92">
            <w:pPr>
              <w:jc w:val="center"/>
              <w:rPr>
                <w:bCs/>
                <w:sz w:val="18"/>
                <w:szCs w:val="14"/>
                <w:lang w:val="kk-KZ"/>
              </w:rPr>
            </w:pPr>
            <w:r>
              <w:rPr>
                <w:bCs/>
                <w:sz w:val="18"/>
                <w:szCs w:val="14"/>
                <w:lang w:val="kk-KZ"/>
              </w:rPr>
              <w:t>2</w:t>
            </w:r>
          </w:p>
        </w:tc>
        <w:tc>
          <w:tcPr>
            <w:tcW w:w="852" w:type="dxa"/>
            <w:vAlign w:val="center"/>
          </w:tcPr>
          <w:p w:rsidR="001C556F" w:rsidRPr="00132AEB" w:rsidRDefault="001C556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1C556F" w:rsidRDefault="001C556F" w:rsidP="009F35A2">
            <w:pPr>
              <w:pStyle w:val="a7"/>
              <w:spacing w:before="0" w:beforeAutospacing="0" w:after="360" w:afterAutospacing="0"/>
              <w:textAlignment w:val="baseline"/>
              <w:rPr>
                <w:color w:val="000000"/>
                <w:spacing w:val="2"/>
                <w:sz w:val="18"/>
                <w:szCs w:val="18"/>
                <w:lang w:val="kk-KZ"/>
              </w:rPr>
            </w:pPr>
          </w:p>
          <w:p w:rsidR="001C556F" w:rsidRDefault="001C556F" w:rsidP="009F35A2">
            <w:pPr>
              <w:pStyle w:val="a7"/>
              <w:spacing w:before="0" w:beforeAutospacing="0" w:after="360" w:afterAutospacing="0"/>
              <w:textAlignment w:val="baseline"/>
              <w:rPr>
                <w:color w:val="000000"/>
                <w:spacing w:val="2"/>
                <w:sz w:val="18"/>
                <w:szCs w:val="18"/>
                <w:lang w:val="kk-KZ"/>
              </w:rPr>
            </w:pPr>
            <w:r>
              <w:rPr>
                <w:color w:val="000000"/>
                <w:spacing w:val="2"/>
                <w:sz w:val="18"/>
                <w:szCs w:val="18"/>
                <w:lang w:val="kk-KZ"/>
              </w:rPr>
              <w:t xml:space="preserve">Мочеприемник </w:t>
            </w:r>
          </w:p>
        </w:tc>
        <w:tc>
          <w:tcPr>
            <w:tcW w:w="2410" w:type="dxa"/>
          </w:tcPr>
          <w:p w:rsidR="001C556F" w:rsidRPr="001C556F" w:rsidRDefault="001C556F" w:rsidP="007A5C88">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 xml:space="preserve">Мочеприемник </w:t>
            </w:r>
            <w:proofErr w:type="spellStart"/>
            <w:r>
              <w:rPr>
                <w:color w:val="000000"/>
                <w:spacing w:val="2"/>
                <w:sz w:val="18"/>
                <w:szCs w:val="18"/>
                <w:lang w:val="en-US"/>
              </w:rPr>
              <w:t>Conveen</w:t>
            </w:r>
            <w:proofErr w:type="spellEnd"/>
            <w:r w:rsidRPr="001C556F">
              <w:rPr>
                <w:color w:val="000000"/>
                <w:spacing w:val="2"/>
                <w:sz w:val="18"/>
                <w:szCs w:val="18"/>
              </w:rPr>
              <w:t xml:space="preserve"> </w:t>
            </w:r>
            <w:r>
              <w:rPr>
                <w:color w:val="000000"/>
                <w:spacing w:val="2"/>
                <w:sz w:val="18"/>
                <w:szCs w:val="18"/>
                <w:lang w:val="en-US"/>
              </w:rPr>
              <w:t>Standard</w:t>
            </w:r>
            <w:r w:rsidRPr="001C556F">
              <w:rPr>
                <w:color w:val="000000"/>
                <w:spacing w:val="2"/>
                <w:sz w:val="18"/>
                <w:szCs w:val="18"/>
              </w:rPr>
              <w:t xml:space="preserve"> </w:t>
            </w:r>
            <w:r>
              <w:rPr>
                <w:color w:val="000000"/>
                <w:spacing w:val="2"/>
                <w:sz w:val="18"/>
                <w:szCs w:val="18"/>
                <w:lang w:val="kk-KZ"/>
              </w:rPr>
              <w:t>прикроватный, объемом 1500 мл., с дренажной трубкой 90 см., с ремешком для крепления мочеприемника в упаковке</w:t>
            </w:r>
          </w:p>
        </w:tc>
        <w:tc>
          <w:tcPr>
            <w:tcW w:w="993" w:type="dxa"/>
            <w:shd w:val="clear" w:color="auto" w:fill="auto"/>
            <w:vAlign w:val="center"/>
          </w:tcPr>
          <w:p w:rsidR="001C556F" w:rsidRDefault="001C556F" w:rsidP="007A5C88">
            <w:pPr>
              <w:jc w:val="center"/>
              <w:rPr>
                <w:sz w:val="18"/>
                <w:szCs w:val="18"/>
                <w:lang w:val="kk-KZ"/>
              </w:rPr>
            </w:pPr>
            <w:r>
              <w:rPr>
                <w:sz w:val="18"/>
                <w:szCs w:val="18"/>
                <w:lang w:val="kk-KZ"/>
              </w:rPr>
              <w:t>штука</w:t>
            </w:r>
          </w:p>
        </w:tc>
        <w:tc>
          <w:tcPr>
            <w:tcW w:w="566" w:type="dxa"/>
            <w:shd w:val="clear" w:color="auto" w:fill="auto"/>
            <w:vAlign w:val="center"/>
          </w:tcPr>
          <w:p w:rsidR="001C556F" w:rsidRDefault="001C556F" w:rsidP="007A5C88">
            <w:pPr>
              <w:jc w:val="center"/>
              <w:rPr>
                <w:sz w:val="16"/>
                <w:szCs w:val="16"/>
                <w:lang w:val="kk-KZ"/>
              </w:rPr>
            </w:pPr>
            <w:r>
              <w:rPr>
                <w:sz w:val="16"/>
                <w:szCs w:val="16"/>
                <w:lang w:val="kk-KZ"/>
              </w:rPr>
              <w:t>5000</w:t>
            </w:r>
          </w:p>
        </w:tc>
        <w:tc>
          <w:tcPr>
            <w:tcW w:w="993" w:type="dxa"/>
            <w:shd w:val="clear" w:color="auto" w:fill="auto"/>
            <w:vAlign w:val="center"/>
          </w:tcPr>
          <w:p w:rsidR="001C556F" w:rsidRPr="00132AEB" w:rsidRDefault="001C556F" w:rsidP="00D54DAE">
            <w:pPr>
              <w:jc w:val="center"/>
              <w:rPr>
                <w:sz w:val="16"/>
                <w:szCs w:val="16"/>
                <w:lang w:val="kk-KZ"/>
              </w:rPr>
            </w:pPr>
          </w:p>
          <w:p w:rsidR="001C556F" w:rsidRPr="00132AEB" w:rsidRDefault="001C556F" w:rsidP="00D54DAE">
            <w:pPr>
              <w:jc w:val="center"/>
              <w:rPr>
                <w:sz w:val="16"/>
                <w:szCs w:val="16"/>
                <w:lang w:val="kk-KZ"/>
              </w:rPr>
            </w:pPr>
            <w:r w:rsidRPr="00132AEB">
              <w:rPr>
                <w:sz w:val="16"/>
                <w:szCs w:val="16"/>
                <w:lang w:val="kk-KZ"/>
              </w:rPr>
              <w:t>DDP</w:t>
            </w:r>
          </w:p>
        </w:tc>
        <w:tc>
          <w:tcPr>
            <w:tcW w:w="1701" w:type="dxa"/>
            <w:shd w:val="clear" w:color="auto" w:fill="auto"/>
            <w:vAlign w:val="center"/>
          </w:tcPr>
          <w:p w:rsidR="001C556F" w:rsidRPr="00132AEB" w:rsidRDefault="001C556F" w:rsidP="00D54DAE">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C556F" w:rsidRPr="00132AEB" w:rsidRDefault="001C556F" w:rsidP="00D54DAE">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C556F" w:rsidRPr="00132AEB" w:rsidRDefault="001C556F" w:rsidP="00D54DAE">
            <w:pPr>
              <w:jc w:val="center"/>
              <w:rPr>
                <w:sz w:val="16"/>
                <w:szCs w:val="16"/>
                <w:lang w:val="kk-KZ"/>
              </w:rPr>
            </w:pPr>
            <w:r w:rsidRPr="00132AEB">
              <w:rPr>
                <w:sz w:val="16"/>
                <w:szCs w:val="16"/>
                <w:lang w:val="kk-KZ"/>
              </w:rPr>
              <w:t>0</w:t>
            </w:r>
          </w:p>
        </w:tc>
        <w:tc>
          <w:tcPr>
            <w:tcW w:w="1843" w:type="dxa"/>
            <w:vAlign w:val="center"/>
          </w:tcPr>
          <w:p w:rsidR="001C556F" w:rsidRPr="00132AEB" w:rsidRDefault="001C556F" w:rsidP="00D54DAE">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C556F" w:rsidRDefault="001C556F" w:rsidP="009E5EAB">
            <w:pPr>
              <w:jc w:val="center"/>
              <w:rPr>
                <w:sz w:val="18"/>
                <w:szCs w:val="18"/>
                <w:lang w:val="kk-KZ"/>
              </w:rPr>
            </w:pPr>
            <w:r>
              <w:rPr>
                <w:sz w:val="18"/>
                <w:szCs w:val="18"/>
                <w:lang w:val="kk-KZ"/>
              </w:rPr>
              <w:t>128</w:t>
            </w:r>
          </w:p>
        </w:tc>
        <w:tc>
          <w:tcPr>
            <w:tcW w:w="1135" w:type="dxa"/>
            <w:vAlign w:val="center"/>
          </w:tcPr>
          <w:p w:rsidR="001C556F" w:rsidRDefault="001C556F" w:rsidP="009E5EAB">
            <w:pPr>
              <w:jc w:val="center"/>
              <w:rPr>
                <w:sz w:val="16"/>
                <w:szCs w:val="16"/>
                <w:lang w:val="kk-KZ"/>
              </w:rPr>
            </w:pPr>
            <w:r>
              <w:rPr>
                <w:sz w:val="16"/>
                <w:szCs w:val="16"/>
                <w:lang w:val="kk-KZ"/>
              </w:rPr>
              <w:t>640 000</w:t>
            </w:r>
          </w:p>
        </w:tc>
      </w:tr>
      <w:tr w:rsidR="001C556F" w:rsidRPr="00407F92" w:rsidTr="00C57EEA">
        <w:trPr>
          <w:trHeight w:val="587"/>
        </w:trPr>
        <w:tc>
          <w:tcPr>
            <w:tcW w:w="425" w:type="dxa"/>
            <w:shd w:val="clear" w:color="auto" w:fill="auto"/>
            <w:vAlign w:val="center"/>
          </w:tcPr>
          <w:p w:rsidR="001C556F" w:rsidRDefault="001C556F" w:rsidP="00407F92">
            <w:pPr>
              <w:jc w:val="center"/>
              <w:rPr>
                <w:bCs/>
                <w:sz w:val="18"/>
                <w:szCs w:val="14"/>
                <w:lang w:val="kk-KZ"/>
              </w:rPr>
            </w:pPr>
            <w:r>
              <w:rPr>
                <w:bCs/>
                <w:sz w:val="18"/>
                <w:szCs w:val="14"/>
                <w:lang w:val="kk-KZ"/>
              </w:rPr>
              <w:t>3</w:t>
            </w:r>
          </w:p>
        </w:tc>
        <w:tc>
          <w:tcPr>
            <w:tcW w:w="852" w:type="dxa"/>
            <w:vAlign w:val="center"/>
          </w:tcPr>
          <w:p w:rsidR="001C556F" w:rsidRPr="00132AEB" w:rsidRDefault="001C556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1C556F" w:rsidRDefault="001C556F" w:rsidP="009F35A2">
            <w:pPr>
              <w:pStyle w:val="a7"/>
              <w:spacing w:before="0" w:beforeAutospacing="0" w:after="360" w:afterAutospacing="0"/>
              <w:textAlignment w:val="baseline"/>
              <w:rPr>
                <w:color w:val="000000"/>
                <w:spacing w:val="2"/>
                <w:sz w:val="18"/>
                <w:szCs w:val="18"/>
                <w:lang w:val="kk-KZ"/>
              </w:rPr>
            </w:pPr>
          </w:p>
          <w:p w:rsidR="001C556F" w:rsidRDefault="00D17003" w:rsidP="003257D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П</w:t>
            </w:r>
            <w:r w:rsidR="001C556F">
              <w:rPr>
                <w:color w:val="000000"/>
                <w:spacing w:val="2"/>
                <w:sz w:val="18"/>
                <w:szCs w:val="18"/>
                <w:lang w:val="kk-KZ"/>
              </w:rPr>
              <w:t>резерватив</w:t>
            </w:r>
          </w:p>
          <w:p w:rsidR="00D17003" w:rsidRDefault="00D17003" w:rsidP="003257DE">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№12</w:t>
            </w:r>
            <w:bookmarkStart w:id="0" w:name="_GoBack"/>
            <w:bookmarkEnd w:id="0"/>
          </w:p>
        </w:tc>
        <w:tc>
          <w:tcPr>
            <w:tcW w:w="2410" w:type="dxa"/>
          </w:tcPr>
          <w:p w:rsidR="001C556F" w:rsidRDefault="001C556F" w:rsidP="007A5C88">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Презерватив производится из натурального латекса с ароматизированной и не ароматизированной или гладкой поверхностью. Электронный контроль качества. Предназначен для контрацепции и предающихся половым путем.</w:t>
            </w:r>
          </w:p>
        </w:tc>
        <w:tc>
          <w:tcPr>
            <w:tcW w:w="993" w:type="dxa"/>
            <w:shd w:val="clear" w:color="auto" w:fill="auto"/>
            <w:vAlign w:val="center"/>
          </w:tcPr>
          <w:p w:rsidR="001C556F" w:rsidRDefault="00E67C6B" w:rsidP="007A5C88">
            <w:pPr>
              <w:jc w:val="center"/>
              <w:rPr>
                <w:sz w:val="18"/>
                <w:szCs w:val="18"/>
                <w:lang w:val="kk-KZ"/>
              </w:rPr>
            </w:pPr>
            <w:r>
              <w:rPr>
                <w:sz w:val="18"/>
                <w:szCs w:val="18"/>
                <w:lang w:val="kk-KZ"/>
              </w:rPr>
              <w:t>упаковка</w:t>
            </w:r>
          </w:p>
        </w:tc>
        <w:tc>
          <w:tcPr>
            <w:tcW w:w="566" w:type="dxa"/>
            <w:shd w:val="clear" w:color="auto" w:fill="auto"/>
            <w:vAlign w:val="center"/>
          </w:tcPr>
          <w:p w:rsidR="001C556F" w:rsidRDefault="0076702E" w:rsidP="007A5C88">
            <w:pPr>
              <w:jc w:val="center"/>
              <w:rPr>
                <w:sz w:val="16"/>
                <w:szCs w:val="16"/>
                <w:lang w:val="kk-KZ"/>
              </w:rPr>
            </w:pPr>
            <w:r>
              <w:rPr>
                <w:sz w:val="16"/>
                <w:szCs w:val="16"/>
                <w:lang w:val="kk-KZ"/>
              </w:rPr>
              <w:t>17</w:t>
            </w:r>
          </w:p>
        </w:tc>
        <w:tc>
          <w:tcPr>
            <w:tcW w:w="993" w:type="dxa"/>
            <w:shd w:val="clear" w:color="auto" w:fill="auto"/>
            <w:vAlign w:val="center"/>
          </w:tcPr>
          <w:p w:rsidR="001C556F" w:rsidRPr="00132AEB" w:rsidRDefault="001C556F" w:rsidP="008E0D5A">
            <w:pPr>
              <w:jc w:val="center"/>
              <w:rPr>
                <w:sz w:val="16"/>
                <w:szCs w:val="16"/>
                <w:lang w:val="kk-KZ"/>
              </w:rPr>
            </w:pPr>
          </w:p>
          <w:p w:rsidR="001C556F" w:rsidRPr="00132AEB" w:rsidRDefault="001C556F" w:rsidP="008E0D5A">
            <w:pPr>
              <w:jc w:val="center"/>
              <w:rPr>
                <w:sz w:val="16"/>
                <w:szCs w:val="16"/>
                <w:lang w:val="kk-KZ"/>
              </w:rPr>
            </w:pPr>
            <w:r w:rsidRPr="00132AEB">
              <w:rPr>
                <w:sz w:val="16"/>
                <w:szCs w:val="16"/>
                <w:lang w:val="kk-KZ"/>
              </w:rPr>
              <w:t>DDP</w:t>
            </w:r>
          </w:p>
        </w:tc>
        <w:tc>
          <w:tcPr>
            <w:tcW w:w="1701" w:type="dxa"/>
            <w:shd w:val="clear" w:color="auto" w:fill="auto"/>
            <w:vAlign w:val="center"/>
          </w:tcPr>
          <w:p w:rsidR="001C556F" w:rsidRPr="00132AEB" w:rsidRDefault="001C556F"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C556F" w:rsidRPr="00132AEB" w:rsidRDefault="001C556F"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C556F" w:rsidRPr="00132AEB" w:rsidRDefault="001C556F" w:rsidP="008E0D5A">
            <w:pPr>
              <w:jc w:val="center"/>
              <w:rPr>
                <w:sz w:val="16"/>
                <w:szCs w:val="16"/>
                <w:lang w:val="kk-KZ"/>
              </w:rPr>
            </w:pPr>
            <w:r w:rsidRPr="00132AEB">
              <w:rPr>
                <w:sz w:val="16"/>
                <w:szCs w:val="16"/>
                <w:lang w:val="kk-KZ"/>
              </w:rPr>
              <w:t>0</w:t>
            </w:r>
          </w:p>
        </w:tc>
        <w:tc>
          <w:tcPr>
            <w:tcW w:w="1843" w:type="dxa"/>
            <w:vAlign w:val="center"/>
          </w:tcPr>
          <w:p w:rsidR="001C556F" w:rsidRPr="00132AEB" w:rsidRDefault="001C556F"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C556F" w:rsidRDefault="00E67C6B" w:rsidP="009E5EAB">
            <w:pPr>
              <w:jc w:val="center"/>
              <w:rPr>
                <w:sz w:val="18"/>
                <w:szCs w:val="18"/>
                <w:lang w:val="kk-KZ"/>
              </w:rPr>
            </w:pPr>
            <w:r>
              <w:rPr>
                <w:sz w:val="18"/>
                <w:szCs w:val="18"/>
                <w:lang w:val="kk-KZ"/>
              </w:rPr>
              <w:t>595</w:t>
            </w:r>
          </w:p>
        </w:tc>
        <w:tc>
          <w:tcPr>
            <w:tcW w:w="1135" w:type="dxa"/>
            <w:vAlign w:val="center"/>
          </w:tcPr>
          <w:p w:rsidR="001C556F" w:rsidRDefault="00E67C6B" w:rsidP="009E5EAB">
            <w:pPr>
              <w:jc w:val="center"/>
              <w:rPr>
                <w:sz w:val="16"/>
                <w:szCs w:val="16"/>
                <w:lang w:val="kk-KZ"/>
              </w:rPr>
            </w:pPr>
            <w:r>
              <w:rPr>
                <w:sz w:val="16"/>
                <w:szCs w:val="16"/>
                <w:lang w:val="kk-KZ"/>
              </w:rPr>
              <w:t>10 115</w:t>
            </w:r>
          </w:p>
        </w:tc>
      </w:tr>
      <w:tr w:rsidR="001C556F" w:rsidRPr="00407F92" w:rsidTr="00C57EEA">
        <w:trPr>
          <w:trHeight w:val="587"/>
        </w:trPr>
        <w:tc>
          <w:tcPr>
            <w:tcW w:w="425" w:type="dxa"/>
            <w:shd w:val="clear" w:color="auto" w:fill="auto"/>
            <w:vAlign w:val="center"/>
          </w:tcPr>
          <w:p w:rsidR="001C556F" w:rsidRDefault="001C556F" w:rsidP="00407F92">
            <w:pPr>
              <w:jc w:val="center"/>
              <w:rPr>
                <w:bCs/>
                <w:sz w:val="18"/>
                <w:szCs w:val="14"/>
                <w:lang w:val="kk-KZ"/>
              </w:rPr>
            </w:pPr>
            <w:r>
              <w:rPr>
                <w:bCs/>
                <w:sz w:val="18"/>
                <w:szCs w:val="14"/>
                <w:lang w:val="kk-KZ"/>
              </w:rPr>
              <w:t>4</w:t>
            </w:r>
          </w:p>
        </w:tc>
        <w:tc>
          <w:tcPr>
            <w:tcW w:w="852" w:type="dxa"/>
            <w:vAlign w:val="center"/>
          </w:tcPr>
          <w:p w:rsidR="001C556F" w:rsidRPr="00132AEB" w:rsidRDefault="001C556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1C556F" w:rsidRDefault="001C556F"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мизопростол</w:t>
            </w:r>
          </w:p>
        </w:tc>
        <w:tc>
          <w:tcPr>
            <w:tcW w:w="2410" w:type="dxa"/>
          </w:tcPr>
          <w:p w:rsidR="001C556F" w:rsidRDefault="001C556F"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Таблетка 0,2 мг</w:t>
            </w:r>
          </w:p>
        </w:tc>
        <w:tc>
          <w:tcPr>
            <w:tcW w:w="993" w:type="dxa"/>
            <w:shd w:val="clear" w:color="auto" w:fill="auto"/>
            <w:vAlign w:val="center"/>
          </w:tcPr>
          <w:p w:rsidR="001C556F" w:rsidRDefault="001C556F" w:rsidP="007A5C88">
            <w:pPr>
              <w:jc w:val="center"/>
              <w:rPr>
                <w:sz w:val="18"/>
                <w:szCs w:val="18"/>
                <w:lang w:val="kk-KZ"/>
              </w:rPr>
            </w:pPr>
            <w:r>
              <w:rPr>
                <w:sz w:val="18"/>
                <w:szCs w:val="18"/>
                <w:lang w:val="kk-KZ"/>
              </w:rPr>
              <w:t>таблетка</w:t>
            </w:r>
          </w:p>
        </w:tc>
        <w:tc>
          <w:tcPr>
            <w:tcW w:w="566" w:type="dxa"/>
            <w:shd w:val="clear" w:color="auto" w:fill="auto"/>
            <w:vAlign w:val="center"/>
          </w:tcPr>
          <w:p w:rsidR="001C556F" w:rsidRDefault="001C556F" w:rsidP="007A5C88">
            <w:pPr>
              <w:jc w:val="center"/>
              <w:rPr>
                <w:sz w:val="16"/>
                <w:szCs w:val="16"/>
                <w:lang w:val="kk-KZ"/>
              </w:rPr>
            </w:pPr>
            <w:r>
              <w:rPr>
                <w:sz w:val="16"/>
                <w:szCs w:val="16"/>
                <w:lang w:val="kk-KZ"/>
              </w:rPr>
              <w:t>400</w:t>
            </w:r>
          </w:p>
        </w:tc>
        <w:tc>
          <w:tcPr>
            <w:tcW w:w="993" w:type="dxa"/>
            <w:shd w:val="clear" w:color="auto" w:fill="auto"/>
            <w:vAlign w:val="center"/>
          </w:tcPr>
          <w:p w:rsidR="001C556F" w:rsidRPr="00132AEB" w:rsidRDefault="001C556F" w:rsidP="008E0D5A">
            <w:pPr>
              <w:jc w:val="center"/>
              <w:rPr>
                <w:sz w:val="16"/>
                <w:szCs w:val="16"/>
                <w:lang w:val="kk-KZ"/>
              </w:rPr>
            </w:pPr>
          </w:p>
          <w:p w:rsidR="001C556F" w:rsidRPr="00132AEB" w:rsidRDefault="001C556F" w:rsidP="008E0D5A">
            <w:pPr>
              <w:jc w:val="center"/>
              <w:rPr>
                <w:sz w:val="16"/>
                <w:szCs w:val="16"/>
                <w:lang w:val="kk-KZ"/>
              </w:rPr>
            </w:pPr>
            <w:r w:rsidRPr="00132AEB">
              <w:rPr>
                <w:sz w:val="16"/>
                <w:szCs w:val="16"/>
                <w:lang w:val="kk-KZ"/>
              </w:rPr>
              <w:t>DDP</w:t>
            </w:r>
          </w:p>
        </w:tc>
        <w:tc>
          <w:tcPr>
            <w:tcW w:w="1701" w:type="dxa"/>
            <w:shd w:val="clear" w:color="auto" w:fill="auto"/>
            <w:vAlign w:val="center"/>
          </w:tcPr>
          <w:p w:rsidR="001C556F" w:rsidRPr="00132AEB" w:rsidRDefault="001C556F"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C556F" w:rsidRPr="00132AEB" w:rsidRDefault="001C556F"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C556F" w:rsidRPr="00132AEB" w:rsidRDefault="001C556F" w:rsidP="008E0D5A">
            <w:pPr>
              <w:jc w:val="center"/>
              <w:rPr>
                <w:sz w:val="16"/>
                <w:szCs w:val="16"/>
                <w:lang w:val="kk-KZ"/>
              </w:rPr>
            </w:pPr>
            <w:r w:rsidRPr="00132AEB">
              <w:rPr>
                <w:sz w:val="16"/>
                <w:szCs w:val="16"/>
                <w:lang w:val="kk-KZ"/>
              </w:rPr>
              <w:t>0</w:t>
            </w:r>
          </w:p>
        </w:tc>
        <w:tc>
          <w:tcPr>
            <w:tcW w:w="1843" w:type="dxa"/>
            <w:vAlign w:val="center"/>
          </w:tcPr>
          <w:p w:rsidR="001C556F" w:rsidRPr="00132AEB" w:rsidRDefault="001C556F"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C556F" w:rsidRDefault="001C556F" w:rsidP="009E5EAB">
            <w:pPr>
              <w:jc w:val="center"/>
              <w:rPr>
                <w:sz w:val="18"/>
                <w:szCs w:val="18"/>
                <w:lang w:val="kk-KZ"/>
              </w:rPr>
            </w:pPr>
            <w:r>
              <w:rPr>
                <w:sz w:val="18"/>
                <w:szCs w:val="18"/>
                <w:lang w:val="kk-KZ"/>
              </w:rPr>
              <w:t>132,92</w:t>
            </w:r>
          </w:p>
        </w:tc>
        <w:tc>
          <w:tcPr>
            <w:tcW w:w="1135" w:type="dxa"/>
            <w:vAlign w:val="center"/>
          </w:tcPr>
          <w:p w:rsidR="001C556F" w:rsidRDefault="001C556F" w:rsidP="009E5EAB">
            <w:pPr>
              <w:jc w:val="center"/>
              <w:rPr>
                <w:sz w:val="16"/>
                <w:szCs w:val="16"/>
                <w:lang w:val="kk-KZ"/>
              </w:rPr>
            </w:pPr>
            <w:r>
              <w:rPr>
                <w:sz w:val="16"/>
                <w:szCs w:val="16"/>
                <w:lang w:val="kk-KZ"/>
              </w:rPr>
              <w:t>53 168</w:t>
            </w:r>
          </w:p>
        </w:tc>
      </w:tr>
      <w:tr w:rsidR="001C556F" w:rsidRPr="00407F92" w:rsidTr="00C57EEA">
        <w:trPr>
          <w:trHeight w:val="587"/>
        </w:trPr>
        <w:tc>
          <w:tcPr>
            <w:tcW w:w="425" w:type="dxa"/>
            <w:shd w:val="clear" w:color="auto" w:fill="auto"/>
            <w:vAlign w:val="center"/>
          </w:tcPr>
          <w:p w:rsidR="001C556F" w:rsidRDefault="001C556F" w:rsidP="00407F92">
            <w:pPr>
              <w:jc w:val="center"/>
              <w:rPr>
                <w:bCs/>
                <w:sz w:val="18"/>
                <w:szCs w:val="14"/>
                <w:lang w:val="kk-KZ"/>
              </w:rPr>
            </w:pPr>
            <w:r>
              <w:rPr>
                <w:bCs/>
                <w:sz w:val="18"/>
                <w:szCs w:val="14"/>
                <w:lang w:val="kk-KZ"/>
              </w:rPr>
              <w:t>5</w:t>
            </w:r>
          </w:p>
        </w:tc>
        <w:tc>
          <w:tcPr>
            <w:tcW w:w="852" w:type="dxa"/>
            <w:vAlign w:val="center"/>
          </w:tcPr>
          <w:p w:rsidR="001C556F" w:rsidRPr="00132AEB" w:rsidRDefault="001C556F"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1C556F" w:rsidRDefault="001C556F"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мифепристон</w:t>
            </w:r>
          </w:p>
        </w:tc>
        <w:tc>
          <w:tcPr>
            <w:tcW w:w="2410" w:type="dxa"/>
          </w:tcPr>
          <w:p w:rsidR="001C556F" w:rsidRDefault="001C556F"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Таблетка 200 мг</w:t>
            </w:r>
          </w:p>
        </w:tc>
        <w:tc>
          <w:tcPr>
            <w:tcW w:w="993" w:type="dxa"/>
            <w:shd w:val="clear" w:color="auto" w:fill="auto"/>
            <w:vAlign w:val="center"/>
          </w:tcPr>
          <w:p w:rsidR="001C556F" w:rsidRDefault="001C556F" w:rsidP="007A5C88">
            <w:pPr>
              <w:jc w:val="center"/>
              <w:rPr>
                <w:sz w:val="18"/>
                <w:szCs w:val="18"/>
                <w:lang w:val="kk-KZ"/>
              </w:rPr>
            </w:pPr>
            <w:r>
              <w:rPr>
                <w:sz w:val="18"/>
                <w:szCs w:val="18"/>
                <w:lang w:val="kk-KZ"/>
              </w:rPr>
              <w:t>таблетка</w:t>
            </w:r>
          </w:p>
        </w:tc>
        <w:tc>
          <w:tcPr>
            <w:tcW w:w="566" w:type="dxa"/>
            <w:shd w:val="clear" w:color="auto" w:fill="auto"/>
            <w:vAlign w:val="center"/>
          </w:tcPr>
          <w:p w:rsidR="001C556F" w:rsidRDefault="001C556F" w:rsidP="007A5C88">
            <w:pPr>
              <w:jc w:val="center"/>
              <w:rPr>
                <w:sz w:val="16"/>
                <w:szCs w:val="16"/>
                <w:lang w:val="kk-KZ"/>
              </w:rPr>
            </w:pPr>
            <w:r>
              <w:rPr>
                <w:sz w:val="16"/>
                <w:szCs w:val="16"/>
                <w:lang w:val="kk-KZ"/>
              </w:rPr>
              <w:t>50</w:t>
            </w:r>
          </w:p>
        </w:tc>
        <w:tc>
          <w:tcPr>
            <w:tcW w:w="993" w:type="dxa"/>
            <w:shd w:val="clear" w:color="auto" w:fill="auto"/>
            <w:vAlign w:val="center"/>
          </w:tcPr>
          <w:p w:rsidR="001C556F" w:rsidRPr="00132AEB" w:rsidRDefault="001C556F" w:rsidP="008E0D5A">
            <w:pPr>
              <w:jc w:val="center"/>
              <w:rPr>
                <w:sz w:val="16"/>
                <w:szCs w:val="16"/>
                <w:lang w:val="kk-KZ"/>
              </w:rPr>
            </w:pPr>
          </w:p>
          <w:p w:rsidR="001C556F" w:rsidRPr="00132AEB" w:rsidRDefault="001C556F" w:rsidP="008E0D5A">
            <w:pPr>
              <w:jc w:val="center"/>
              <w:rPr>
                <w:sz w:val="16"/>
                <w:szCs w:val="16"/>
                <w:lang w:val="kk-KZ"/>
              </w:rPr>
            </w:pPr>
            <w:r w:rsidRPr="00132AEB">
              <w:rPr>
                <w:sz w:val="16"/>
                <w:szCs w:val="16"/>
                <w:lang w:val="kk-KZ"/>
              </w:rPr>
              <w:t>DDP</w:t>
            </w:r>
          </w:p>
        </w:tc>
        <w:tc>
          <w:tcPr>
            <w:tcW w:w="1701" w:type="dxa"/>
            <w:shd w:val="clear" w:color="auto" w:fill="auto"/>
            <w:vAlign w:val="center"/>
          </w:tcPr>
          <w:p w:rsidR="001C556F" w:rsidRPr="00132AEB" w:rsidRDefault="001C556F" w:rsidP="008E0D5A">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1C556F" w:rsidRPr="00132AEB" w:rsidRDefault="001C556F" w:rsidP="008E0D5A">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1C556F" w:rsidRPr="00132AEB" w:rsidRDefault="001C556F" w:rsidP="008E0D5A">
            <w:pPr>
              <w:jc w:val="center"/>
              <w:rPr>
                <w:sz w:val="16"/>
                <w:szCs w:val="16"/>
                <w:lang w:val="kk-KZ"/>
              </w:rPr>
            </w:pPr>
            <w:r w:rsidRPr="00132AEB">
              <w:rPr>
                <w:sz w:val="16"/>
                <w:szCs w:val="16"/>
                <w:lang w:val="kk-KZ"/>
              </w:rPr>
              <w:t>0</w:t>
            </w:r>
          </w:p>
        </w:tc>
        <w:tc>
          <w:tcPr>
            <w:tcW w:w="1843" w:type="dxa"/>
            <w:vAlign w:val="center"/>
          </w:tcPr>
          <w:p w:rsidR="001C556F" w:rsidRPr="00132AEB" w:rsidRDefault="001C556F" w:rsidP="008E0D5A">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1C556F" w:rsidRDefault="001C556F" w:rsidP="009E5EAB">
            <w:pPr>
              <w:jc w:val="center"/>
              <w:rPr>
                <w:sz w:val="18"/>
                <w:szCs w:val="18"/>
                <w:lang w:val="kk-KZ"/>
              </w:rPr>
            </w:pPr>
            <w:r>
              <w:rPr>
                <w:sz w:val="18"/>
                <w:szCs w:val="18"/>
                <w:lang w:val="kk-KZ"/>
              </w:rPr>
              <w:t>1330,9</w:t>
            </w:r>
          </w:p>
        </w:tc>
        <w:tc>
          <w:tcPr>
            <w:tcW w:w="1135" w:type="dxa"/>
            <w:vAlign w:val="center"/>
          </w:tcPr>
          <w:p w:rsidR="001C556F" w:rsidRDefault="001C556F" w:rsidP="009E5EAB">
            <w:pPr>
              <w:jc w:val="center"/>
              <w:rPr>
                <w:sz w:val="16"/>
                <w:szCs w:val="16"/>
                <w:lang w:val="kk-KZ"/>
              </w:rPr>
            </w:pPr>
            <w:r>
              <w:rPr>
                <w:sz w:val="16"/>
                <w:szCs w:val="16"/>
                <w:lang w:val="kk-KZ"/>
              </w:rPr>
              <w:t>66 545</w:t>
            </w:r>
          </w:p>
        </w:tc>
      </w:tr>
      <w:tr w:rsidR="0076702E" w:rsidRPr="00407F92" w:rsidTr="00C57EEA">
        <w:trPr>
          <w:trHeight w:val="587"/>
        </w:trPr>
        <w:tc>
          <w:tcPr>
            <w:tcW w:w="425" w:type="dxa"/>
            <w:shd w:val="clear" w:color="auto" w:fill="auto"/>
            <w:vAlign w:val="center"/>
          </w:tcPr>
          <w:p w:rsidR="0076702E" w:rsidRDefault="0076702E" w:rsidP="00407F92">
            <w:pPr>
              <w:jc w:val="center"/>
              <w:rPr>
                <w:bCs/>
                <w:sz w:val="18"/>
                <w:szCs w:val="14"/>
                <w:lang w:val="kk-KZ"/>
              </w:rPr>
            </w:pPr>
            <w:r>
              <w:rPr>
                <w:bCs/>
                <w:sz w:val="18"/>
                <w:szCs w:val="14"/>
                <w:lang w:val="kk-KZ"/>
              </w:rPr>
              <w:lastRenderedPageBreak/>
              <w:t>6</w:t>
            </w:r>
          </w:p>
        </w:tc>
        <w:tc>
          <w:tcPr>
            <w:tcW w:w="852" w:type="dxa"/>
            <w:vAlign w:val="center"/>
          </w:tcPr>
          <w:p w:rsidR="0076702E" w:rsidRPr="00132AEB" w:rsidRDefault="0076702E" w:rsidP="00407F92">
            <w:pPr>
              <w:jc w:val="center"/>
              <w:rPr>
                <w:sz w:val="16"/>
                <w:szCs w:val="16"/>
              </w:rPr>
            </w:pPr>
            <w:r w:rsidRPr="00132AEB">
              <w:rPr>
                <w:sz w:val="16"/>
                <w:szCs w:val="16"/>
              </w:rPr>
              <w:t>ШЖ</w:t>
            </w:r>
            <w:r w:rsidRPr="00132AEB">
              <w:rPr>
                <w:sz w:val="16"/>
                <w:szCs w:val="16"/>
                <w:lang w:val="kk-KZ"/>
              </w:rPr>
              <w:t>Қ «</w:t>
            </w:r>
            <w:r w:rsidRPr="00132AEB">
              <w:rPr>
                <w:sz w:val="16"/>
                <w:szCs w:val="16"/>
              </w:rPr>
              <w:t>КОА</w:t>
            </w:r>
            <w:r w:rsidRPr="00132AEB">
              <w:rPr>
                <w:sz w:val="16"/>
                <w:szCs w:val="16"/>
                <w:lang w:val="kk-KZ"/>
              </w:rPr>
              <w:t>» МКК</w:t>
            </w:r>
          </w:p>
        </w:tc>
        <w:tc>
          <w:tcPr>
            <w:tcW w:w="1416" w:type="dxa"/>
            <w:shd w:val="clear" w:color="auto" w:fill="auto"/>
          </w:tcPr>
          <w:p w:rsidR="0076702E" w:rsidRDefault="0076702E"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Маски кислородные с небулайзером</w:t>
            </w:r>
          </w:p>
        </w:tc>
        <w:tc>
          <w:tcPr>
            <w:tcW w:w="2410" w:type="dxa"/>
          </w:tcPr>
          <w:p w:rsidR="0076702E" w:rsidRDefault="0076702E" w:rsidP="00FC13F6">
            <w:pPr>
              <w:pStyle w:val="a7"/>
              <w:spacing w:before="0" w:beforeAutospacing="0" w:after="360" w:afterAutospacing="0"/>
              <w:jc w:val="center"/>
              <w:textAlignment w:val="baseline"/>
              <w:rPr>
                <w:color w:val="000000"/>
                <w:spacing w:val="2"/>
                <w:sz w:val="18"/>
                <w:szCs w:val="18"/>
                <w:lang w:val="kk-KZ"/>
              </w:rPr>
            </w:pPr>
            <w:r>
              <w:rPr>
                <w:color w:val="000000"/>
                <w:spacing w:val="2"/>
                <w:sz w:val="18"/>
                <w:szCs w:val="18"/>
                <w:lang w:val="kk-KZ"/>
              </w:rPr>
              <w:t>Маски кислородные с небулайзером</w:t>
            </w:r>
            <w:r>
              <w:rPr>
                <w:color w:val="000000"/>
                <w:spacing w:val="2"/>
                <w:sz w:val="18"/>
                <w:szCs w:val="18"/>
                <w:lang w:val="kk-KZ"/>
              </w:rPr>
              <w:t xml:space="preserve"> – снабжена гибким носовым зажимом и эластичным регулиоуемым ремешком. В комплекте прозрачная кислородная трубка с 2 разъемами для соединения маски с кислородным концентратором. Изготовлен их имплантационнного нетоксичного поливинилхлорида.Длина трубки – 1,8 метра.</w:t>
            </w:r>
          </w:p>
        </w:tc>
        <w:tc>
          <w:tcPr>
            <w:tcW w:w="993" w:type="dxa"/>
            <w:shd w:val="clear" w:color="auto" w:fill="auto"/>
            <w:vAlign w:val="center"/>
          </w:tcPr>
          <w:p w:rsidR="0076702E" w:rsidRDefault="0076702E" w:rsidP="007A5C88">
            <w:pPr>
              <w:jc w:val="center"/>
              <w:rPr>
                <w:sz w:val="18"/>
                <w:szCs w:val="18"/>
                <w:lang w:val="kk-KZ"/>
              </w:rPr>
            </w:pPr>
            <w:r>
              <w:rPr>
                <w:sz w:val="18"/>
                <w:szCs w:val="18"/>
                <w:lang w:val="kk-KZ"/>
              </w:rPr>
              <w:t>штука</w:t>
            </w:r>
          </w:p>
        </w:tc>
        <w:tc>
          <w:tcPr>
            <w:tcW w:w="566" w:type="dxa"/>
            <w:shd w:val="clear" w:color="auto" w:fill="auto"/>
            <w:vAlign w:val="center"/>
          </w:tcPr>
          <w:p w:rsidR="0076702E" w:rsidRDefault="0076702E" w:rsidP="007A5C88">
            <w:pPr>
              <w:jc w:val="center"/>
              <w:rPr>
                <w:sz w:val="16"/>
                <w:szCs w:val="16"/>
                <w:lang w:val="kk-KZ"/>
              </w:rPr>
            </w:pPr>
            <w:r>
              <w:rPr>
                <w:sz w:val="16"/>
                <w:szCs w:val="16"/>
                <w:lang w:val="kk-KZ"/>
              </w:rPr>
              <w:t>100</w:t>
            </w:r>
          </w:p>
        </w:tc>
        <w:tc>
          <w:tcPr>
            <w:tcW w:w="993" w:type="dxa"/>
            <w:shd w:val="clear" w:color="auto" w:fill="auto"/>
            <w:vAlign w:val="center"/>
          </w:tcPr>
          <w:p w:rsidR="0076702E" w:rsidRPr="00132AEB" w:rsidRDefault="0076702E" w:rsidP="00717BC3">
            <w:pPr>
              <w:jc w:val="center"/>
              <w:rPr>
                <w:sz w:val="16"/>
                <w:szCs w:val="16"/>
                <w:lang w:val="kk-KZ"/>
              </w:rPr>
            </w:pPr>
          </w:p>
          <w:p w:rsidR="0076702E" w:rsidRPr="00132AEB" w:rsidRDefault="0076702E" w:rsidP="00717BC3">
            <w:pPr>
              <w:jc w:val="center"/>
              <w:rPr>
                <w:sz w:val="16"/>
                <w:szCs w:val="16"/>
                <w:lang w:val="kk-KZ"/>
              </w:rPr>
            </w:pPr>
            <w:r w:rsidRPr="00132AEB">
              <w:rPr>
                <w:sz w:val="16"/>
                <w:szCs w:val="16"/>
                <w:lang w:val="kk-KZ"/>
              </w:rPr>
              <w:t>DDP</w:t>
            </w:r>
          </w:p>
        </w:tc>
        <w:tc>
          <w:tcPr>
            <w:tcW w:w="1701" w:type="dxa"/>
            <w:shd w:val="clear" w:color="auto" w:fill="auto"/>
            <w:vAlign w:val="center"/>
          </w:tcPr>
          <w:p w:rsidR="0076702E" w:rsidRPr="00132AEB" w:rsidRDefault="0076702E" w:rsidP="00717BC3">
            <w:pPr>
              <w:jc w:val="center"/>
              <w:rPr>
                <w:sz w:val="16"/>
                <w:szCs w:val="16"/>
                <w:lang w:val="kk-KZ"/>
              </w:rPr>
            </w:pPr>
            <w:r w:rsidRPr="00132AEB">
              <w:rPr>
                <w:sz w:val="16"/>
                <w:szCs w:val="16"/>
                <w:lang w:val="kk-KZ"/>
              </w:rPr>
              <w:t>Тапсырыс беруші өтінім берген күннен бастап 5 күнтүзбелік күн ішінде</w:t>
            </w:r>
          </w:p>
        </w:tc>
        <w:tc>
          <w:tcPr>
            <w:tcW w:w="1417" w:type="dxa"/>
            <w:vAlign w:val="center"/>
          </w:tcPr>
          <w:p w:rsidR="0076702E" w:rsidRPr="00132AEB" w:rsidRDefault="0076702E" w:rsidP="00717BC3">
            <w:pPr>
              <w:jc w:val="center"/>
              <w:rPr>
                <w:sz w:val="16"/>
                <w:szCs w:val="16"/>
                <w:lang w:val="kk-KZ"/>
              </w:rPr>
            </w:pPr>
            <w:r w:rsidRPr="00132AEB">
              <w:rPr>
                <w:sz w:val="16"/>
                <w:szCs w:val="16"/>
                <w:lang w:val="kk-KZ"/>
              </w:rPr>
              <w:t>Ақтөбе қаласы, Пацаева көшесі 7</w:t>
            </w:r>
          </w:p>
        </w:tc>
        <w:tc>
          <w:tcPr>
            <w:tcW w:w="992" w:type="dxa"/>
            <w:vAlign w:val="center"/>
          </w:tcPr>
          <w:p w:rsidR="0076702E" w:rsidRPr="00132AEB" w:rsidRDefault="0076702E" w:rsidP="00717BC3">
            <w:pPr>
              <w:jc w:val="center"/>
              <w:rPr>
                <w:sz w:val="16"/>
                <w:szCs w:val="16"/>
                <w:lang w:val="kk-KZ"/>
              </w:rPr>
            </w:pPr>
            <w:r w:rsidRPr="00132AEB">
              <w:rPr>
                <w:sz w:val="16"/>
                <w:szCs w:val="16"/>
                <w:lang w:val="kk-KZ"/>
              </w:rPr>
              <w:t>0</w:t>
            </w:r>
          </w:p>
        </w:tc>
        <w:tc>
          <w:tcPr>
            <w:tcW w:w="1843" w:type="dxa"/>
            <w:vAlign w:val="center"/>
          </w:tcPr>
          <w:p w:rsidR="0076702E" w:rsidRPr="00132AEB" w:rsidRDefault="0076702E" w:rsidP="00717BC3">
            <w:pPr>
              <w:jc w:val="center"/>
              <w:rPr>
                <w:sz w:val="16"/>
                <w:szCs w:val="16"/>
                <w:lang w:val="kk-KZ"/>
              </w:rPr>
            </w:pPr>
            <w:r w:rsidRPr="00132AEB">
              <w:rPr>
                <w:sz w:val="16"/>
                <w:szCs w:val="16"/>
                <w:lang w:val="kk-KZ"/>
              </w:rPr>
              <w:t>Ақы төлеу жоғары тұрған ұйымның қаржыландырылуына қарай жүргізіледі</w:t>
            </w:r>
          </w:p>
        </w:tc>
        <w:tc>
          <w:tcPr>
            <w:tcW w:w="992" w:type="dxa"/>
            <w:shd w:val="clear" w:color="auto" w:fill="auto"/>
            <w:vAlign w:val="center"/>
          </w:tcPr>
          <w:p w:rsidR="0076702E" w:rsidRDefault="0076702E" w:rsidP="009E5EAB">
            <w:pPr>
              <w:jc w:val="center"/>
              <w:rPr>
                <w:sz w:val="18"/>
                <w:szCs w:val="18"/>
                <w:lang w:val="kk-KZ"/>
              </w:rPr>
            </w:pPr>
            <w:r>
              <w:rPr>
                <w:sz w:val="18"/>
                <w:szCs w:val="18"/>
                <w:lang w:val="kk-KZ"/>
              </w:rPr>
              <w:t>524</w:t>
            </w:r>
          </w:p>
        </w:tc>
        <w:tc>
          <w:tcPr>
            <w:tcW w:w="1135" w:type="dxa"/>
            <w:vAlign w:val="center"/>
          </w:tcPr>
          <w:p w:rsidR="0076702E" w:rsidRDefault="0076702E" w:rsidP="009E5EAB">
            <w:pPr>
              <w:jc w:val="center"/>
              <w:rPr>
                <w:sz w:val="16"/>
                <w:szCs w:val="16"/>
                <w:lang w:val="kk-KZ"/>
              </w:rPr>
            </w:pPr>
            <w:r>
              <w:rPr>
                <w:sz w:val="16"/>
                <w:szCs w:val="16"/>
                <w:lang w:val="kk-KZ"/>
              </w:rPr>
              <w:t>52 400</w:t>
            </w:r>
          </w:p>
        </w:tc>
      </w:tr>
      <w:tr w:rsidR="0076702E" w:rsidRPr="00823FE0" w:rsidTr="007A5C88">
        <w:trPr>
          <w:trHeight w:val="135"/>
        </w:trPr>
        <w:tc>
          <w:tcPr>
            <w:tcW w:w="11765" w:type="dxa"/>
            <w:gridSpan w:val="10"/>
            <w:shd w:val="clear" w:color="auto" w:fill="auto"/>
            <w:vAlign w:val="center"/>
          </w:tcPr>
          <w:p w:rsidR="0076702E" w:rsidRDefault="0076702E" w:rsidP="002B05E1">
            <w:pPr>
              <w:jc w:val="center"/>
              <w:rPr>
                <w:b/>
                <w:bCs/>
                <w:sz w:val="16"/>
                <w:szCs w:val="16"/>
                <w:lang w:val="kk-KZ"/>
              </w:rPr>
            </w:pPr>
          </w:p>
          <w:p w:rsidR="0076702E" w:rsidRPr="00823FE0" w:rsidRDefault="0076702E" w:rsidP="002B05E1">
            <w:pPr>
              <w:jc w:val="center"/>
              <w:rPr>
                <w:b/>
                <w:sz w:val="16"/>
                <w:szCs w:val="16"/>
                <w:lang w:val="kk-KZ"/>
              </w:rPr>
            </w:pPr>
            <w:r w:rsidRPr="00823FE0">
              <w:rPr>
                <w:b/>
                <w:bCs/>
                <w:sz w:val="16"/>
                <w:szCs w:val="16"/>
                <w:lang w:val="kk-KZ"/>
              </w:rPr>
              <w:t>ИТОГО</w:t>
            </w:r>
          </w:p>
        </w:tc>
        <w:tc>
          <w:tcPr>
            <w:tcW w:w="1843" w:type="dxa"/>
          </w:tcPr>
          <w:p w:rsidR="0076702E" w:rsidRPr="00823FE0" w:rsidRDefault="0076702E" w:rsidP="002B05E1">
            <w:pPr>
              <w:ind w:left="53" w:hanging="53"/>
              <w:jc w:val="center"/>
              <w:rPr>
                <w:b/>
                <w:sz w:val="16"/>
                <w:szCs w:val="16"/>
                <w:lang w:val="kk-KZ"/>
              </w:rPr>
            </w:pPr>
          </w:p>
        </w:tc>
        <w:tc>
          <w:tcPr>
            <w:tcW w:w="992" w:type="dxa"/>
            <w:shd w:val="clear" w:color="auto" w:fill="auto"/>
            <w:vAlign w:val="center"/>
          </w:tcPr>
          <w:p w:rsidR="0076702E" w:rsidRPr="00823FE0" w:rsidRDefault="0076702E" w:rsidP="002B05E1">
            <w:pPr>
              <w:ind w:left="53" w:hanging="53"/>
              <w:jc w:val="center"/>
              <w:rPr>
                <w:b/>
                <w:sz w:val="16"/>
                <w:szCs w:val="16"/>
                <w:lang w:val="kk-KZ"/>
              </w:rPr>
            </w:pPr>
          </w:p>
        </w:tc>
        <w:tc>
          <w:tcPr>
            <w:tcW w:w="1135" w:type="dxa"/>
          </w:tcPr>
          <w:p w:rsidR="0076702E" w:rsidRPr="00D85B7C" w:rsidRDefault="00B47216" w:rsidP="00FC13F6">
            <w:pPr>
              <w:ind w:left="53" w:hanging="53"/>
              <w:jc w:val="center"/>
              <w:rPr>
                <w:b/>
                <w:sz w:val="16"/>
                <w:szCs w:val="16"/>
                <w:lang w:val="kk-KZ"/>
              </w:rPr>
            </w:pPr>
            <w:r>
              <w:rPr>
                <w:b/>
                <w:sz w:val="16"/>
                <w:szCs w:val="16"/>
                <w:lang w:val="kk-KZ"/>
              </w:rPr>
              <w:t>1 295 628</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B47216">
        <w:rPr>
          <w:color w:val="auto"/>
          <w:sz w:val="18"/>
          <w:szCs w:val="18"/>
          <w:lang w:val="kk-KZ"/>
        </w:rPr>
        <w:t>берудің соңғы мерзімі сағат 10.3</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B47216">
        <w:rPr>
          <w:color w:val="auto"/>
          <w:sz w:val="18"/>
          <w:szCs w:val="18"/>
          <w:lang w:val="kk-KZ"/>
        </w:rPr>
        <w:t>10 мамыр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B47216">
        <w:rPr>
          <w:color w:val="auto"/>
          <w:sz w:val="18"/>
          <w:szCs w:val="18"/>
          <w:lang w:val="kk-KZ"/>
        </w:rPr>
        <w:t>.3</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B47216">
        <w:rPr>
          <w:color w:val="auto"/>
          <w:sz w:val="18"/>
          <w:szCs w:val="18"/>
          <w:lang w:val="kk-KZ"/>
        </w:rPr>
        <w:t xml:space="preserve">10 мамыр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63E2"/>
    <w:rsid w:val="000370A2"/>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1281"/>
    <w:rsid w:val="002544A2"/>
    <w:rsid w:val="00260A93"/>
    <w:rsid w:val="00264278"/>
    <w:rsid w:val="00265E81"/>
    <w:rsid w:val="00276771"/>
    <w:rsid w:val="00297EE5"/>
    <w:rsid w:val="002A0FF9"/>
    <w:rsid w:val="002A1820"/>
    <w:rsid w:val="002A6748"/>
    <w:rsid w:val="002A6E00"/>
    <w:rsid w:val="002B05E1"/>
    <w:rsid w:val="002B1AA0"/>
    <w:rsid w:val="002B1C42"/>
    <w:rsid w:val="002B2513"/>
    <w:rsid w:val="002B469E"/>
    <w:rsid w:val="002B6D24"/>
    <w:rsid w:val="002B7B58"/>
    <w:rsid w:val="002D1636"/>
    <w:rsid w:val="002D3C81"/>
    <w:rsid w:val="002D54CE"/>
    <w:rsid w:val="002E2162"/>
    <w:rsid w:val="002F4C66"/>
    <w:rsid w:val="002F7CEB"/>
    <w:rsid w:val="00300088"/>
    <w:rsid w:val="00302010"/>
    <w:rsid w:val="00305237"/>
    <w:rsid w:val="00315491"/>
    <w:rsid w:val="00315AB3"/>
    <w:rsid w:val="003172F3"/>
    <w:rsid w:val="00320794"/>
    <w:rsid w:val="003257DE"/>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1FC"/>
    <w:rsid w:val="00384961"/>
    <w:rsid w:val="00392D14"/>
    <w:rsid w:val="00393DA1"/>
    <w:rsid w:val="003B5322"/>
    <w:rsid w:val="003D099D"/>
    <w:rsid w:val="003D0E3C"/>
    <w:rsid w:val="003D2042"/>
    <w:rsid w:val="003D5E1B"/>
    <w:rsid w:val="003D753B"/>
    <w:rsid w:val="003E0279"/>
    <w:rsid w:val="003E3A7C"/>
    <w:rsid w:val="003E438D"/>
    <w:rsid w:val="003F62A6"/>
    <w:rsid w:val="00402295"/>
    <w:rsid w:val="00407F16"/>
    <w:rsid w:val="00407F92"/>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E221F"/>
    <w:rsid w:val="004F1B22"/>
    <w:rsid w:val="004F66EB"/>
    <w:rsid w:val="004F6847"/>
    <w:rsid w:val="00522DD1"/>
    <w:rsid w:val="00523EDE"/>
    <w:rsid w:val="00527485"/>
    <w:rsid w:val="005311E5"/>
    <w:rsid w:val="00535AE4"/>
    <w:rsid w:val="00544935"/>
    <w:rsid w:val="0054748E"/>
    <w:rsid w:val="00553482"/>
    <w:rsid w:val="0055455B"/>
    <w:rsid w:val="0055604D"/>
    <w:rsid w:val="00562BBD"/>
    <w:rsid w:val="00565A68"/>
    <w:rsid w:val="005729EE"/>
    <w:rsid w:val="005743A7"/>
    <w:rsid w:val="00576859"/>
    <w:rsid w:val="005779EE"/>
    <w:rsid w:val="005904F5"/>
    <w:rsid w:val="00592725"/>
    <w:rsid w:val="00592B03"/>
    <w:rsid w:val="005A5B8F"/>
    <w:rsid w:val="005A6456"/>
    <w:rsid w:val="005B200C"/>
    <w:rsid w:val="005B28A5"/>
    <w:rsid w:val="005B3462"/>
    <w:rsid w:val="005B4AF7"/>
    <w:rsid w:val="005B5CD3"/>
    <w:rsid w:val="005C2D11"/>
    <w:rsid w:val="005D1439"/>
    <w:rsid w:val="005D2A91"/>
    <w:rsid w:val="005E46BF"/>
    <w:rsid w:val="005E585D"/>
    <w:rsid w:val="005F0C8E"/>
    <w:rsid w:val="00601E32"/>
    <w:rsid w:val="00606077"/>
    <w:rsid w:val="00607099"/>
    <w:rsid w:val="006115B7"/>
    <w:rsid w:val="00612132"/>
    <w:rsid w:val="00613946"/>
    <w:rsid w:val="0062412A"/>
    <w:rsid w:val="006423F6"/>
    <w:rsid w:val="00646129"/>
    <w:rsid w:val="00650E79"/>
    <w:rsid w:val="0065192E"/>
    <w:rsid w:val="0065347E"/>
    <w:rsid w:val="00655B16"/>
    <w:rsid w:val="00661ABF"/>
    <w:rsid w:val="00672C59"/>
    <w:rsid w:val="0067604F"/>
    <w:rsid w:val="0067605D"/>
    <w:rsid w:val="0067699A"/>
    <w:rsid w:val="00680271"/>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E3131"/>
    <w:rsid w:val="0080185B"/>
    <w:rsid w:val="00807017"/>
    <w:rsid w:val="00812C44"/>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E1756"/>
    <w:rsid w:val="008F3AB1"/>
    <w:rsid w:val="008F5E68"/>
    <w:rsid w:val="00902227"/>
    <w:rsid w:val="0090446D"/>
    <w:rsid w:val="00907035"/>
    <w:rsid w:val="009075A9"/>
    <w:rsid w:val="00910BAB"/>
    <w:rsid w:val="0091128A"/>
    <w:rsid w:val="00911C57"/>
    <w:rsid w:val="00912296"/>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1AF"/>
    <w:rsid w:val="009C7E97"/>
    <w:rsid w:val="009D3F1E"/>
    <w:rsid w:val="009D6029"/>
    <w:rsid w:val="009E12B9"/>
    <w:rsid w:val="009E3C04"/>
    <w:rsid w:val="009E76F5"/>
    <w:rsid w:val="009F1984"/>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57EEA"/>
    <w:rsid w:val="00C60121"/>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166D"/>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8FD"/>
    <w:rsid w:val="00EC7DEE"/>
    <w:rsid w:val="00ED6EE8"/>
    <w:rsid w:val="00EE0764"/>
    <w:rsid w:val="00EE2DDD"/>
    <w:rsid w:val="00EE58AB"/>
    <w:rsid w:val="00EE6A18"/>
    <w:rsid w:val="00EF3B46"/>
    <w:rsid w:val="00EF50E4"/>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13F6"/>
    <w:rsid w:val="00FC22DA"/>
    <w:rsid w:val="00FC4206"/>
    <w:rsid w:val="00FC7486"/>
    <w:rsid w:val="00FD3B5F"/>
    <w:rsid w:val="00FD6BE5"/>
    <w:rsid w:val="00FE0EC1"/>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47409-55EB-4F4E-B210-2BC6DE7D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Pages>
  <Words>789</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69</cp:revision>
  <cp:lastPrinted>2023-05-03T07:10:00Z</cp:lastPrinted>
  <dcterms:created xsi:type="dcterms:W3CDTF">2023-02-14T11:22:00Z</dcterms:created>
  <dcterms:modified xsi:type="dcterms:W3CDTF">2023-05-03T07:12:00Z</dcterms:modified>
</cp:coreProperties>
</file>