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711286">
        <w:rPr>
          <w:b/>
          <w:color w:val="auto"/>
          <w:sz w:val="16"/>
          <w:szCs w:val="16"/>
          <w:lang w:val="kk-KZ"/>
        </w:rPr>
        <w:t>50</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42600"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w:t>
      </w:r>
      <w:r w:rsidR="00B47216">
        <w:rPr>
          <w:b/>
          <w:color w:val="auto"/>
          <w:sz w:val="20"/>
          <w:szCs w:val="20"/>
          <w:lang w:val="kk-KZ"/>
        </w:rPr>
        <w:t>дар</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711286">
        <w:rPr>
          <w:color w:val="auto"/>
          <w:sz w:val="16"/>
          <w:szCs w:val="16"/>
          <w:lang w:val="kk-KZ"/>
        </w:rPr>
        <w:t>04</w:t>
      </w:r>
      <w:r w:rsidR="001C556F">
        <w:rPr>
          <w:color w:val="auto"/>
          <w:sz w:val="16"/>
          <w:szCs w:val="16"/>
          <w:lang w:val="kk-KZ"/>
        </w:rPr>
        <w:t>.05</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852"/>
        <w:gridCol w:w="1416"/>
        <w:gridCol w:w="2410"/>
        <w:gridCol w:w="993"/>
        <w:gridCol w:w="566"/>
        <w:gridCol w:w="993"/>
        <w:gridCol w:w="1701"/>
        <w:gridCol w:w="1417"/>
        <w:gridCol w:w="992"/>
        <w:gridCol w:w="1843"/>
        <w:gridCol w:w="992"/>
        <w:gridCol w:w="1135"/>
      </w:tblGrid>
      <w:tr w:rsidR="001077E7" w:rsidRPr="00982056" w:rsidTr="00C57EEA">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41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410"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993"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7A5C88" w:rsidRPr="00407F92" w:rsidTr="00C57EEA">
        <w:trPr>
          <w:trHeight w:val="587"/>
        </w:trPr>
        <w:tc>
          <w:tcPr>
            <w:tcW w:w="425" w:type="dxa"/>
            <w:shd w:val="clear" w:color="auto" w:fill="auto"/>
            <w:vAlign w:val="center"/>
          </w:tcPr>
          <w:p w:rsidR="007A5C88" w:rsidRPr="00ED6EE8" w:rsidRDefault="007A5C88" w:rsidP="00407F92">
            <w:pPr>
              <w:jc w:val="center"/>
              <w:rPr>
                <w:bCs/>
                <w:sz w:val="18"/>
                <w:szCs w:val="14"/>
                <w:lang w:val="kk-KZ"/>
              </w:rPr>
            </w:pPr>
            <w:r w:rsidRPr="00ED6EE8">
              <w:rPr>
                <w:bCs/>
                <w:sz w:val="18"/>
                <w:szCs w:val="14"/>
                <w:lang w:val="kk-KZ"/>
              </w:rPr>
              <w:t>1</w:t>
            </w:r>
          </w:p>
        </w:tc>
        <w:tc>
          <w:tcPr>
            <w:tcW w:w="852" w:type="dxa"/>
            <w:vAlign w:val="center"/>
          </w:tcPr>
          <w:p w:rsidR="007A5C88" w:rsidRPr="003408AC" w:rsidRDefault="007A5C88" w:rsidP="00407F92">
            <w:pPr>
              <w:jc w:val="center"/>
              <w:rPr>
                <w:b/>
                <w:sz w:val="14"/>
                <w:szCs w:val="14"/>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9F35A2" w:rsidRDefault="009F35A2" w:rsidP="009F35A2">
            <w:pPr>
              <w:pStyle w:val="a7"/>
              <w:spacing w:before="0" w:beforeAutospacing="0" w:after="360" w:afterAutospacing="0"/>
              <w:textAlignment w:val="baseline"/>
              <w:rPr>
                <w:color w:val="000000"/>
                <w:spacing w:val="2"/>
                <w:sz w:val="18"/>
                <w:szCs w:val="18"/>
                <w:lang w:val="kk-KZ"/>
              </w:rPr>
            </w:pPr>
          </w:p>
          <w:p w:rsidR="00711286" w:rsidRDefault="00711286" w:rsidP="00711286">
            <w:pPr>
              <w:jc w:val="center"/>
              <w:rPr>
                <w:sz w:val="16"/>
                <w:szCs w:val="16"/>
                <w:lang w:val="kk-KZ"/>
              </w:rPr>
            </w:pPr>
            <w:r>
              <w:rPr>
                <w:sz w:val="16"/>
                <w:szCs w:val="16"/>
                <w:lang w:val="kk-KZ"/>
              </w:rPr>
              <w:t>Шприц для инфузионных насосов 50  мл</w:t>
            </w:r>
          </w:p>
          <w:p w:rsidR="007A5C88" w:rsidRPr="00C57EEA" w:rsidRDefault="0010227C" w:rsidP="00711286">
            <w:pPr>
              <w:pStyle w:val="a7"/>
              <w:spacing w:before="0" w:beforeAutospacing="0" w:after="360" w:afterAutospacing="0"/>
              <w:jc w:val="center"/>
              <w:textAlignment w:val="baseline"/>
              <w:rPr>
                <w:color w:val="000000"/>
                <w:spacing w:val="2"/>
                <w:sz w:val="18"/>
                <w:szCs w:val="18"/>
                <w:lang w:val="kk-KZ"/>
              </w:rPr>
            </w:pPr>
            <w:r>
              <w:rPr>
                <w:sz w:val="16"/>
                <w:szCs w:val="16"/>
                <w:lang w:val="kk-KZ"/>
              </w:rPr>
              <w:t>(</w:t>
            </w:r>
            <w:r w:rsidR="00711286">
              <w:rPr>
                <w:sz w:val="16"/>
                <w:szCs w:val="16"/>
                <w:lang w:val="kk-KZ"/>
              </w:rPr>
              <w:t>Перфузор</w:t>
            </w:r>
            <w:r>
              <w:rPr>
                <w:sz w:val="16"/>
                <w:szCs w:val="16"/>
                <w:lang w:val="kk-KZ"/>
              </w:rPr>
              <w:t>)</w:t>
            </w:r>
          </w:p>
        </w:tc>
        <w:tc>
          <w:tcPr>
            <w:tcW w:w="2410" w:type="dxa"/>
          </w:tcPr>
          <w:p w:rsidR="00711286" w:rsidRDefault="00711286" w:rsidP="00711286">
            <w:pPr>
              <w:rPr>
                <w:sz w:val="16"/>
                <w:szCs w:val="16"/>
                <w:lang w:val="kk-KZ"/>
              </w:rPr>
            </w:pPr>
          </w:p>
          <w:p w:rsidR="00711286" w:rsidRPr="00060189" w:rsidRDefault="00711286" w:rsidP="00711286">
            <w:pPr>
              <w:pStyle w:val="a3"/>
              <w:numPr>
                <w:ilvl w:val="0"/>
                <w:numId w:val="26"/>
              </w:numPr>
              <w:rPr>
                <w:sz w:val="16"/>
                <w:szCs w:val="16"/>
              </w:rPr>
            </w:pPr>
            <w:r>
              <w:rPr>
                <w:sz w:val="16"/>
                <w:szCs w:val="16"/>
                <w:lang w:val="kk-KZ"/>
              </w:rPr>
              <w:t>Изготовлен из полипропилена</w:t>
            </w:r>
          </w:p>
          <w:p w:rsidR="00711286" w:rsidRPr="00711286" w:rsidRDefault="00711286" w:rsidP="00711286">
            <w:pPr>
              <w:pStyle w:val="a3"/>
              <w:numPr>
                <w:ilvl w:val="0"/>
                <w:numId w:val="26"/>
              </w:numPr>
              <w:rPr>
                <w:sz w:val="16"/>
                <w:szCs w:val="16"/>
              </w:rPr>
            </w:pPr>
            <w:r>
              <w:rPr>
                <w:sz w:val="16"/>
                <w:szCs w:val="16"/>
                <w:lang w:val="kk-KZ"/>
              </w:rPr>
              <w:t>50 мл</w:t>
            </w:r>
          </w:p>
          <w:p w:rsidR="007A5C88" w:rsidRPr="00711286" w:rsidRDefault="00711286" w:rsidP="00711286">
            <w:pPr>
              <w:pStyle w:val="a3"/>
              <w:numPr>
                <w:ilvl w:val="0"/>
                <w:numId w:val="26"/>
              </w:numPr>
              <w:rPr>
                <w:sz w:val="16"/>
                <w:szCs w:val="16"/>
              </w:rPr>
            </w:pPr>
            <w:r w:rsidRPr="00711286">
              <w:rPr>
                <w:sz w:val="16"/>
                <w:szCs w:val="16"/>
                <w:lang w:val="kk-KZ"/>
              </w:rPr>
              <w:t>Светонепроницаемый (черный)</w:t>
            </w:r>
          </w:p>
        </w:tc>
        <w:tc>
          <w:tcPr>
            <w:tcW w:w="993" w:type="dxa"/>
            <w:shd w:val="clear" w:color="auto" w:fill="auto"/>
            <w:vAlign w:val="center"/>
          </w:tcPr>
          <w:p w:rsidR="00C57EEA" w:rsidRPr="006B79E0" w:rsidRDefault="00711286" w:rsidP="007A5C88">
            <w:pPr>
              <w:jc w:val="center"/>
              <w:rPr>
                <w:sz w:val="18"/>
                <w:szCs w:val="18"/>
                <w:lang w:val="kk-KZ"/>
              </w:rPr>
            </w:pPr>
            <w:r>
              <w:rPr>
                <w:sz w:val="18"/>
                <w:szCs w:val="18"/>
                <w:lang w:val="kk-KZ"/>
              </w:rPr>
              <w:t>штука</w:t>
            </w:r>
          </w:p>
        </w:tc>
        <w:tc>
          <w:tcPr>
            <w:tcW w:w="566" w:type="dxa"/>
            <w:shd w:val="clear" w:color="auto" w:fill="auto"/>
            <w:vAlign w:val="center"/>
          </w:tcPr>
          <w:p w:rsidR="007A5C88" w:rsidRPr="00CB35A1" w:rsidRDefault="00982056" w:rsidP="007A5C88">
            <w:pPr>
              <w:jc w:val="center"/>
              <w:rPr>
                <w:sz w:val="16"/>
                <w:szCs w:val="16"/>
                <w:lang w:val="kk-KZ"/>
              </w:rPr>
            </w:pPr>
            <w:r>
              <w:rPr>
                <w:sz w:val="16"/>
                <w:szCs w:val="16"/>
                <w:lang w:val="kk-KZ"/>
              </w:rPr>
              <w:t>15</w:t>
            </w:r>
            <w:r w:rsidR="00711286">
              <w:rPr>
                <w:sz w:val="16"/>
                <w:szCs w:val="16"/>
                <w:lang w:val="kk-KZ"/>
              </w:rPr>
              <w:t>00</w:t>
            </w:r>
          </w:p>
        </w:tc>
        <w:tc>
          <w:tcPr>
            <w:tcW w:w="993" w:type="dxa"/>
            <w:shd w:val="clear" w:color="auto" w:fill="auto"/>
            <w:vAlign w:val="center"/>
          </w:tcPr>
          <w:p w:rsidR="007A5C88" w:rsidRPr="00132AEB" w:rsidRDefault="007A5C88" w:rsidP="00407F92">
            <w:pPr>
              <w:jc w:val="center"/>
              <w:rPr>
                <w:sz w:val="16"/>
                <w:szCs w:val="16"/>
                <w:lang w:val="kk-KZ"/>
              </w:rPr>
            </w:pPr>
          </w:p>
          <w:p w:rsidR="007A5C88" w:rsidRPr="00132AEB" w:rsidRDefault="007A5C8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7A5C88" w:rsidRPr="00132AEB" w:rsidRDefault="007A5C8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7A5C88" w:rsidRPr="00132AEB" w:rsidRDefault="007A5C8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7A5C88" w:rsidRPr="00132AEB" w:rsidRDefault="007A5C88" w:rsidP="00407F92">
            <w:pPr>
              <w:jc w:val="center"/>
              <w:rPr>
                <w:sz w:val="16"/>
                <w:szCs w:val="16"/>
                <w:lang w:val="kk-KZ"/>
              </w:rPr>
            </w:pPr>
            <w:r w:rsidRPr="00132AEB">
              <w:rPr>
                <w:sz w:val="16"/>
                <w:szCs w:val="16"/>
                <w:lang w:val="kk-KZ"/>
              </w:rPr>
              <w:t>0</w:t>
            </w:r>
          </w:p>
        </w:tc>
        <w:tc>
          <w:tcPr>
            <w:tcW w:w="1843" w:type="dxa"/>
            <w:vAlign w:val="center"/>
          </w:tcPr>
          <w:p w:rsidR="007A5C88" w:rsidRPr="00132AEB" w:rsidRDefault="007A5C8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7A5C88" w:rsidRPr="00F33BEF" w:rsidRDefault="00711286" w:rsidP="009E5EAB">
            <w:pPr>
              <w:jc w:val="center"/>
              <w:rPr>
                <w:sz w:val="18"/>
                <w:szCs w:val="18"/>
                <w:lang w:val="kk-KZ"/>
              </w:rPr>
            </w:pPr>
            <w:r>
              <w:rPr>
                <w:sz w:val="18"/>
                <w:szCs w:val="18"/>
                <w:lang w:val="kk-KZ"/>
              </w:rPr>
              <w:t>750</w:t>
            </w:r>
          </w:p>
        </w:tc>
        <w:tc>
          <w:tcPr>
            <w:tcW w:w="1135" w:type="dxa"/>
            <w:vAlign w:val="center"/>
          </w:tcPr>
          <w:p w:rsidR="007A5C88" w:rsidRPr="00DC6F8A" w:rsidRDefault="00982056" w:rsidP="009E5EAB">
            <w:pPr>
              <w:jc w:val="center"/>
              <w:rPr>
                <w:sz w:val="16"/>
                <w:szCs w:val="16"/>
                <w:lang w:val="kk-KZ"/>
              </w:rPr>
            </w:pPr>
            <w:r>
              <w:rPr>
                <w:sz w:val="16"/>
                <w:szCs w:val="16"/>
                <w:lang w:val="kk-KZ"/>
              </w:rPr>
              <w:t>1 125</w:t>
            </w:r>
            <w:r w:rsidR="00711286">
              <w:rPr>
                <w:sz w:val="16"/>
                <w:szCs w:val="16"/>
                <w:lang w:val="kk-KZ"/>
              </w:rPr>
              <w:t xml:space="preserve"> 000</w:t>
            </w:r>
          </w:p>
        </w:tc>
      </w:tr>
      <w:tr w:rsidR="0076702E" w:rsidRPr="00823FE0" w:rsidTr="007A5C88">
        <w:trPr>
          <w:trHeight w:val="135"/>
        </w:trPr>
        <w:tc>
          <w:tcPr>
            <w:tcW w:w="11765" w:type="dxa"/>
            <w:gridSpan w:val="10"/>
            <w:shd w:val="clear" w:color="auto" w:fill="auto"/>
            <w:vAlign w:val="center"/>
          </w:tcPr>
          <w:p w:rsidR="0076702E" w:rsidRDefault="0076702E" w:rsidP="002B05E1">
            <w:pPr>
              <w:jc w:val="center"/>
              <w:rPr>
                <w:b/>
                <w:bCs/>
                <w:sz w:val="16"/>
                <w:szCs w:val="16"/>
                <w:lang w:val="kk-KZ"/>
              </w:rPr>
            </w:pPr>
          </w:p>
          <w:p w:rsidR="0076702E" w:rsidRPr="00823FE0" w:rsidRDefault="0076702E" w:rsidP="002B05E1">
            <w:pPr>
              <w:jc w:val="center"/>
              <w:rPr>
                <w:b/>
                <w:sz w:val="16"/>
                <w:szCs w:val="16"/>
                <w:lang w:val="kk-KZ"/>
              </w:rPr>
            </w:pPr>
            <w:r w:rsidRPr="00823FE0">
              <w:rPr>
                <w:b/>
                <w:bCs/>
                <w:sz w:val="16"/>
                <w:szCs w:val="16"/>
                <w:lang w:val="kk-KZ"/>
              </w:rPr>
              <w:t>ИТОГО</w:t>
            </w:r>
          </w:p>
        </w:tc>
        <w:tc>
          <w:tcPr>
            <w:tcW w:w="1843" w:type="dxa"/>
          </w:tcPr>
          <w:p w:rsidR="0076702E" w:rsidRPr="00823FE0" w:rsidRDefault="0076702E" w:rsidP="002B05E1">
            <w:pPr>
              <w:ind w:left="53" w:hanging="53"/>
              <w:jc w:val="center"/>
              <w:rPr>
                <w:b/>
                <w:sz w:val="16"/>
                <w:szCs w:val="16"/>
                <w:lang w:val="kk-KZ"/>
              </w:rPr>
            </w:pPr>
          </w:p>
        </w:tc>
        <w:tc>
          <w:tcPr>
            <w:tcW w:w="992" w:type="dxa"/>
            <w:shd w:val="clear" w:color="auto" w:fill="auto"/>
            <w:vAlign w:val="center"/>
          </w:tcPr>
          <w:p w:rsidR="0076702E" w:rsidRPr="00823FE0" w:rsidRDefault="0076702E" w:rsidP="002B05E1">
            <w:pPr>
              <w:ind w:left="53" w:hanging="53"/>
              <w:jc w:val="center"/>
              <w:rPr>
                <w:b/>
                <w:sz w:val="16"/>
                <w:szCs w:val="16"/>
                <w:lang w:val="kk-KZ"/>
              </w:rPr>
            </w:pPr>
          </w:p>
        </w:tc>
        <w:tc>
          <w:tcPr>
            <w:tcW w:w="1135" w:type="dxa"/>
          </w:tcPr>
          <w:p w:rsidR="0076702E" w:rsidRPr="00D85B7C" w:rsidRDefault="00982056" w:rsidP="00FC13F6">
            <w:pPr>
              <w:ind w:left="53" w:hanging="53"/>
              <w:jc w:val="center"/>
              <w:rPr>
                <w:b/>
                <w:sz w:val="16"/>
                <w:szCs w:val="16"/>
                <w:lang w:val="kk-KZ"/>
              </w:rPr>
            </w:pPr>
            <w:r>
              <w:rPr>
                <w:b/>
                <w:sz w:val="16"/>
                <w:szCs w:val="16"/>
                <w:lang w:val="kk-KZ"/>
              </w:rPr>
              <w:t>1 125 000</w:t>
            </w:r>
            <w:bookmarkStart w:id="0" w:name="_GoBack"/>
            <w:bookmarkEnd w:id="0"/>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711286">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711286">
        <w:rPr>
          <w:color w:val="auto"/>
          <w:sz w:val="18"/>
          <w:szCs w:val="18"/>
          <w:lang w:val="kk-KZ"/>
        </w:rPr>
        <w:t>15</w:t>
      </w:r>
      <w:r w:rsidR="00B47216">
        <w:rPr>
          <w:color w:val="auto"/>
          <w:sz w:val="18"/>
          <w:szCs w:val="18"/>
          <w:lang w:val="kk-KZ"/>
        </w:rPr>
        <w:t xml:space="preserve"> мамыр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711286">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711286">
        <w:rPr>
          <w:color w:val="auto"/>
          <w:sz w:val="18"/>
          <w:szCs w:val="18"/>
          <w:lang w:val="kk-KZ"/>
        </w:rPr>
        <w:t>15</w:t>
      </w:r>
      <w:r w:rsidR="00B47216">
        <w:rPr>
          <w:color w:val="auto"/>
          <w:sz w:val="18"/>
          <w:szCs w:val="18"/>
          <w:lang w:val="kk-KZ"/>
        </w:rPr>
        <w:t xml:space="preserve"> мамыр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1A044A1"/>
    <w:multiLevelType w:val="hybridMultilevel"/>
    <w:tmpl w:val="BD167044"/>
    <w:lvl w:ilvl="0" w:tplc="9BA8280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5"/>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2"/>
  </w:num>
  <w:num w:numId="14">
    <w:abstractNumId w:val="23"/>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4"/>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227C"/>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1286"/>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2056"/>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9893F-567A-4501-A731-AB0D032B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72</cp:revision>
  <cp:lastPrinted>2023-05-04T10:09:00Z</cp:lastPrinted>
  <dcterms:created xsi:type="dcterms:W3CDTF">2023-02-14T11:22:00Z</dcterms:created>
  <dcterms:modified xsi:type="dcterms:W3CDTF">2023-05-04T10:09:00Z</dcterms:modified>
</cp:coreProperties>
</file>