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4B37D8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№4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4B37D8" w:rsidRPr="004B37D8">
        <w:rPr>
          <w:b/>
          <w:bCs/>
          <w:color w:val="auto"/>
          <w:kern w:val="36"/>
          <w:sz w:val="18"/>
          <w:szCs w:val="18"/>
        </w:rPr>
        <w:t xml:space="preserve">приобретение </w:t>
      </w:r>
      <w:r w:rsidR="004B37D8" w:rsidRPr="004B37D8">
        <w:rPr>
          <w:b/>
          <w:bCs/>
          <w:sz w:val="18"/>
          <w:szCs w:val="18"/>
        </w:rPr>
        <w:t xml:space="preserve">наркотических средств, психотропных вещества и </w:t>
      </w:r>
      <w:proofErr w:type="spellStart"/>
      <w:r w:rsidR="004B37D8" w:rsidRPr="004B37D8">
        <w:rPr>
          <w:b/>
          <w:bCs/>
          <w:sz w:val="18"/>
          <w:szCs w:val="18"/>
        </w:rPr>
        <w:t>прекурсоров</w:t>
      </w:r>
      <w:proofErr w:type="spellEnd"/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C23">
        <w:rPr>
          <w:color w:val="auto"/>
          <w:sz w:val="18"/>
          <w:szCs w:val="18"/>
          <w:lang w:val="kk-KZ"/>
        </w:rPr>
        <w:t>20</w:t>
      </w:r>
      <w:bookmarkStart w:id="0" w:name="_GoBack"/>
      <w:bookmarkEnd w:id="0"/>
      <w:r w:rsidR="00F14B69">
        <w:rPr>
          <w:color w:val="auto"/>
          <w:sz w:val="18"/>
          <w:szCs w:val="18"/>
          <w:lang w:val="kk-KZ"/>
        </w:rPr>
        <w:t>.01.2022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4" w:name="OLE_LINK7"/>
      <w:bookmarkStart w:id="5" w:name="OLE_LINK8"/>
      <w:bookmarkStart w:id="6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B37D8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B37D8" w:rsidRDefault="004B37D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4B37D8" w:rsidRPr="00FC1AD5" w:rsidRDefault="004B37D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>Фентанил</w:t>
            </w:r>
            <w:proofErr w:type="spellEnd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 xml:space="preserve"> 0,005% 2мл</w:t>
            </w:r>
          </w:p>
        </w:tc>
        <w:tc>
          <w:tcPr>
            <w:tcW w:w="2693" w:type="dxa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4B37D8">
              <w:rPr>
                <w:color w:val="auto"/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37D8" w:rsidRPr="004B37D8" w:rsidRDefault="004B37D8" w:rsidP="00181213">
            <w:pPr>
              <w:jc w:val="center"/>
              <w:rPr>
                <w:sz w:val="20"/>
                <w:szCs w:val="20"/>
              </w:rPr>
            </w:pPr>
            <w:r w:rsidRPr="004B37D8"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D8" w:rsidRPr="004B37D8" w:rsidRDefault="004B37D8" w:rsidP="008D0078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10 000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</w:p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37D8" w:rsidRPr="004B37D8" w:rsidRDefault="004B37D8" w:rsidP="00D164CF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95,65</w:t>
            </w:r>
          </w:p>
        </w:tc>
        <w:tc>
          <w:tcPr>
            <w:tcW w:w="1560" w:type="dxa"/>
            <w:vAlign w:val="center"/>
          </w:tcPr>
          <w:p w:rsidR="004B37D8" w:rsidRPr="004B37D8" w:rsidRDefault="004B37D8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956 500</w:t>
            </w:r>
          </w:p>
        </w:tc>
      </w:tr>
      <w:tr w:rsidR="004B37D8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B37D8" w:rsidRDefault="004B37D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B37D8" w:rsidRPr="00FC1AD5" w:rsidRDefault="004B37D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>Тримепередин</w:t>
            </w:r>
            <w:proofErr w:type="spellEnd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 xml:space="preserve"> 2% 1мл</w:t>
            </w:r>
          </w:p>
        </w:tc>
        <w:tc>
          <w:tcPr>
            <w:tcW w:w="2693" w:type="dxa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4B37D8">
              <w:rPr>
                <w:color w:val="auto"/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37D8" w:rsidRPr="004B37D8" w:rsidRDefault="004B37D8" w:rsidP="00181213">
            <w:pPr>
              <w:jc w:val="center"/>
              <w:rPr>
                <w:sz w:val="20"/>
                <w:szCs w:val="20"/>
              </w:rPr>
            </w:pPr>
            <w:r w:rsidRPr="004B37D8"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D8" w:rsidRPr="004B37D8" w:rsidRDefault="004B37D8" w:rsidP="008D0078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3 500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</w:p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37D8" w:rsidRPr="004B37D8" w:rsidRDefault="004B37D8" w:rsidP="002472A7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119,75</w:t>
            </w:r>
          </w:p>
        </w:tc>
        <w:tc>
          <w:tcPr>
            <w:tcW w:w="1560" w:type="dxa"/>
            <w:vAlign w:val="center"/>
          </w:tcPr>
          <w:p w:rsidR="004B37D8" w:rsidRPr="004B37D8" w:rsidRDefault="004B37D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419 125</w:t>
            </w:r>
          </w:p>
        </w:tc>
      </w:tr>
      <w:tr w:rsidR="004B37D8" w:rsidRPr="00AB79AC" w:rsidTr="002C14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B37D8" w:rsidRDefault="004B37D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4B37D8" w:rsidRPr="00FC1AD5" w:rsidRDefault="004B37D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>Фенобарбитал</w:t>
            </w:r>
            <w:proofErr w:type="spellEnd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 xml:space="preserve"> 100мг</w:t>
            </w:r>
          </w:p>
        </w:tc>
        <w:tc>
          <w:tcPr>
            <w:tcW w:w="2693" w:type="dxa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4B37D8">
              <w:rPr>
                <w:color w:val="auto"/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37D8" w:rsidRPr="004B37D8" w:rsidRDefault="004B37D8" w:rsidP="00181213">
            <w:pPr>
              <w:jc w:val="center"/>
              <w:rPr>
                <w:sz w:val="20"/>
                <w:szCs w:val="20"/>
              </w:rPr>
            </w:pPr>
            <w:r w:rsidRPr="004B37D8"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D8" w:rsidRPr="004B37D8" w:rsidRDefault="004B37D8" w:rsidP="008D0078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</w:p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37D8" w:rsidRPr="004B37D8" w:rsidRDefault="004B37D8" w:rsidP="002472A7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7,93</w:t>
            </w:r>
          </w:p>
        </w:tc>
        <w:tc>
          <w:tcPr>
            <w:tcW w:w="1560" w:type="dxa"/>
            <w:vAlign w:val="center"/>
          </w:tcPr>
          <w:p w:rsidR="004B37D8" w:rsidRPr="004B37D8" w:rsidRDefault="004B37D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6 344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4B37D8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1 381 969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7D3AF8">
        <w:rPr>
          <w:sz w:val="20"/>
          <w:szCs w:val="20"/>
        </w:rPr>
        <w:t>настоящихПравил</w:t>
      </w:r>
      <w:proofErr w:type="spellEnd"/>
      <w:r w:rsidRPr="007D3AF8">
        <w:rPr>
          <w:sz w:val="20"/>
          <w:szCs w:val="20"/>
        </w:rPr>
        <w:t>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4B37D8">
        <w:rPr>
          <w:color w:val="auto"/>
          <w:sz w:val="18"/>
          <w:szCs w:val="18"/>
          <w:lang w:val="kk-KZ"/>
        </w:rPr>
        <w:t>27</w:t>
      </w:r>
      <w:r w:rsidR="00F14B69">
        <w:rPr>
          <w:color w:val="auto"/>
          <w:sz w:val="18"/>
          <w:szCs w:val="18"/>
          <w:lang w:val="kk-KZ"/>
        </w:rPr>
        <w:t>.01.2022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4B37D8">
        <w:rPr>
          <w:color w:val="auto"/>
          <w:sz w:val="18"/>
          <w:szCs w:val="18"/>
          <w:lang w:val="kk-KZ"/>
        </w:rPr>
        <w:t>27</w:t>
      </w:r>
      <w:r w:rsidR="00F14B69">
        <w:rPr>
          <w:color w:val="auto"/>
          <w:sz w:val="18"/>
          <w:szCs w:val="18"/>
          <w:lang w:val="kk-KZ"/>
        </w:rPr>
        <w:t>.01.2022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lastRenderedPageBreak/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12</cp:revision>
  <cp:lastPrinted>2021-03-04T10:12:00Z</cp:lastPrinted>
  <dcterms:created xsi:type="dcterms:W3CDTF">2022-01-12T12:09:00Z</dcterms:created>
  <dcterms:modified xsi:type="dcterms:W3CDTF">2022-01-20T04:32:00Z</dcterms:modified>
</cp:coreProperties>
</file>