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</w:t>
      </w:r>
      <w:r w:rsidR="00392D14">
        <w:rPr>
          <w:b/>
          <w:color w:val="auto"/>
          <w:sz w:val="18"/>
          <w:szCs w:val="18"/>
          <w:lang w:val="kk-KZ"/>
        </w:rPr>
        <w:t>7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173680">
        <w:rPr>
          <w:b/>
          <w:bCs/>
          <w:color w:val="auto"/>
          <w:kern w:val="36"/>
          <w:sz w:val="16"/>
          <w:szCs w:val="16"/>
        </w:rPr>
        <w:t>Сыворотка</w:t>
      </w:r>
      <w:r w:rsidR="00173680" w:rsidRPr="00F14B69">
        <w:rPr>
          <w:b/>
          <w:color w:val="auto"/>
          <w:sz w:val="18"/>
          <w:szCs w:val="18"/>
          <w:lang w:val="kk-KZ"/>
        </w:rPr>
        <w:t xml:space="preserve"> </w:t>
      </w:r>
      <w:bookmarkStart w:id="0" w:name="_GoBack"/>
      <w:bookmarkEnd w:id="0"/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2D14">
        <w:rPr>
          <w:color w:val="auto"/>
          <w:sz w:val="18"/>
          <w:szCs w:val="18"/>
          <w:lang w:val="kk-KZ"/>
        </w:rPr>
        <w:t>09</w:t>
      </w:r>
      <w:r w:rsidR="00E2206F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4" w:name="OLE_LINK7"/>
      <w:bookmarkStart w:id="5" w:name="OLE_LINK8"/>
      <w:bookmarkStart w:id="6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701"/>
        <w:gridCol w:w="2977"/>
        <w:gridCol w:w="850"/>
        <w:gridCol w:w="709"/>
        <w:gridCol w:w="1417"/>
        <w:gridCol w:w="1985"/>
        <w:gridCol w:w="1276"/>
        <w:gridCol w:w="850"/>
        <w:gridCol w:w="992"/>
        <w:gridCol w:w="1560"/>
      </w:tblGrid>
      <w:tr w:rsidR="004645F2" w:rsidRPr="003C4686" w:rsidTr="00392D14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97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A2D0A" w:rsidRPr="00AB79AC" w:rsidTr="00392D1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</w:tcPr>
          <w:p w:rsidR="00EA2D0A" w:rsidRPr="00EA2D0A" w:rsidRDefault="00392D14" w:rsidP="00EA2D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Сыворотка против яда Каракурта 250 АЕ</w:t>
            </w:r>
          </w:p>
        </w:tc>
        <w:tc>
          <w:tcPr>
            <w:tcW w:w="2977" w:type="dxa"/>
          </w:tcPr>
          <w:p w:rsidR="00EA2D0A" w:rsidRPr="00EA2D0A" w:rsidRDefault="00392D14" w:rsidP="00EA2D0A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Препарат представляет собой </w:t>
            </w:r>
            <w:proofErr w:type="spellStart"/>
            <w:r>
              <w:rPr>
                <w:sz w:val="20"/>
                <w:szCs w:val="20"/>
              </w:rPr>
              <w:t>иммуноглобулиновую</w:t>
            </w:r>
            <w:proofErr w:type="spellEnd"/>
            <w:r>
              <w:rPr>
                <w:sz w:val="20"/>
                <w:szCs w:val="20"/>
              </w:rPr>
              <w:t xml:space="preserve">  фракцию сыворотки крови  лошадей,  иммунизированных ядом гадюки, очищенную и концентрированную методом пептического переваривания и солевого фракционирования, содержащую специфические  антитела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Pr="004B37D8" w:rsidRDefault="00392D14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4B37D8" w:rsidRDefault="00392D1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4B37D8" w:rsidRDefault="00392D1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118 000</w:t>
            </w:r>
          </w:p>
        </w:tc>
        <w:tc>
          <w:tcPr>
            <w:tcW w:w="1560" w:type="dxa"/>
            <w:vAlign w:val="center"/>
          </w:tcPr>
          <w:p w:rsidR="00EA2D0A" w:rsidRPr="004B37D8" w:rsidRDefault="00A0525E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590 000</w:t>
            </w:r>
          </w:p>
        </w:tc>
      </w:tr>
      <w:tr w:rsidR="00EA2D0A" w:rsidRPr="00AB79AC" w:rsidTr="00392D1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A2D0A" w:rsidRPr="00B30C3E" w:rsidRDefault="00392D14" w:rsidP="00EA2D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Сыворотка против яда змей, гюрзы, эфы, кобры  </w:t>
            </w:r>
            <w:proofErr w:type="spellStart"/>
            <w:r>
              <w:rPr>
                <w:sz w:val="20"/>
                <w:szCs w:val="20"/>
                <w:lang w:eastAsia="en-US"/>
              </w:rPr>
              <w:t>моновалентных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поливалентных  лошадиных очищенных концентрированных жидких</w:t>
            </w:r>
          </w:p>
        </w:tc>
        <w:tc>
          <w:tcPr>
            <w:tcW w:w="2977" w:type="dxa"/>
          </w:tcPr>
          <w:p w:rsidR="00EA2D0A" w:rsidRPr="00B30C3E" w:rsidRDefault="00392D14" w:rsidP="00EA2D0A">
            <w:pPr>
              <w:pStyle w:val="a7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Препарат представляет собой </w:t>
            </w:r>
            <w:proofErr w:type="spellStart"/>
            <w:r>
              <w:rPr>
                <w:sz w:val="20"/>
                <w:szCs w:val="20"/>
              </w:rPr>
              <w:t>иммуноглобулиновую</w:t>
            </w:r>
            <w:proofErr w:type="spellEnd"/>
            <w:r>
              <w:rPr>
                <w:sz w:val="20"/>
                <w:szCs w:val="20"/>
              </w:rPr>
              <w:t xml:space="preserve">  фракцию сыворотки крови  лошадей,  иммунизированных ядом гадюки, очищенную и концентрированную методом пептического переваривания и солевого фракционирования, содержащую специфические  антитела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Pr="004B37D8" w:rsidRDefault="00392D14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4B37D8" w:rsidRDefault="00392D1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4B37D8" w:rsidRDefault="00392D14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70 500</w:t>
            </w:r>
          </w:p>
        </w:tc>
        <w:tc>
          <w:tcPr>
            <w:tcW w:w="1560" w:type="dxa"/>
            <w:vAlign w:val="center"/>
          </w:tcPr>
          <w:p w:rsidR="00EA2D0A" w:rsidRPr="004B37D8" w:rsidRDefault="00A0525E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352 500</w:t>
            </w:r>
          </w:p>
        </w:tc>
      </w:tr>
      <w:tr w:rsidR="00EA2D0A" w:rsidRPr="00AB79AC" w:rsidTr="00392D1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A2D0A" w:rsidRPr="00B30C3E" w:rsidRDefault="00392D14" w:rsidP="00EA2D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ПСС-Сыворотка  противостолбнячная лошадиная 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очищенная  концентрированная (5амп. </w:t>
            </w:r>
            <w:proofErr w:type="gramStart"/>
            <w:r>
              <w:rPr>
                <w:sz w:val="20"/>
                <w:szCs w:val="20"/>
                <w:lang w:eastAsia="en-US"/>
              </w:rPr>
              <w:t>По 3000 МЕ)</w:t>
            </w:r>
            <w:r w:rsidR="00A0525E">
              <w:rPr>
                <w:sz w:val="20"/>
                <w:szCs w:val="20"/>
                <w:lang w:eastAsia="en-US"/>
              </w:rPr>
              <w:t xml:space="preserve"> №5</w:t>
            </w:r>
            <w:proofErr w:type="gramEnd"/>
          </w:p>
        </w:tc>
        <w:tc>
          <w:tcPr>
            <w:tcW w:w="2977" w:type="dxa"/>
          </w:tcPr>
          <w:p w:rsidR="00134F28" w:rsidRPr="00B30C3E" w:rsidRDefault="00392D14" w:rsidP="00134F28">
            <w:pPr>
              <w:pStyle w:val="a7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Состав препарата сыворотка </w:t>
            </w:r>
            <w:r>
              <w:rPr>
                <w:sz w:val="20"/>
                <w:szCs w:val="20"/>
                <w:lang w:eastAsia="en-US"/>
              </w:rPr>
              <w:t>противостолбнячная лошадиная  очищенная  концентрированная</w:t>
            </w:r>
            <w:r w:rsidR="00134F28">
              <w:rPr>
                <w:sz w:val="20"/>
                <w:szCs w:val="20"/>
                <w:lang w:eastAsia="en-US"/>
              </w:rPr>
              <w:t xml:space="preserve"> </w:t>
            </w:r>
            <w:r w:rsidR="00134F28">
              <w:rPr>
                <w:sz w:val="20"/>
                <w:szCs w:val="20"/>
                <w:lang w:eastAsia="en-US"/>
              </w:rPr>
              <w:lastRenderedPageBreak/>
              <w:t>жидкая (Сыворотка противостолбнячная)    ампула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Pr="00B66C51" w:rsidRDefault="00A0525E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4B37D8" w:rsidRDefault="00A0525E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4B37D8" w:rsidRDefault="00A0525E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1560" w:type="dxa"/>
            <w:vAlign w:val="center"/>
          </w:tcPr>
          <w:p w:rsidR="00EA2D0A" w:rsidRDefault="00A0525E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EA2D0A" w:rsidRPr="00AB79AC" w:rsidTr="00392D1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5" w:type="dxa"/>
            <w:vMerge/>
            <w:vAlign w:val="center"/>
          </w:tcPr>
          <w:p w:rsidR="00EA2D0A" w:rsidRPr="00FC1AD5" w:rsidRDefault="00EA2D0A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A2D0A" w:rsidRPr="00B30C3E" w:rsidRDefault="00134F28" w:rsidP="00EA2D0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Противогангренозная  сыворотка </w:t>
            </w:r>
          </w:p>
        </w:tc>
        <w:tc>
          <w:tcPr>
            <w:tcW w:w="2977" w:type="dxa"/>
          </w:tcPr>
          <w:p w:rsidR="00EA2D0A" w:rsidRPr="00134F28" w:rsidRDefault="00134F28" w:rsidP="00134F28">
            <w:pPr>
              <w:pStyle w:val="a7"/>
              <w:spacing w:after="0"/>
              <w:rPr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134F28">
              <w:rPr>
                <w:bCs/>
                <w:color w:val="333333"/>
                <w:sz w:val="20"/>
                <w:szCs w:val="20"/>
              </w:rPr>
              <w:t>Содержащая специфические</w:t>
            </w:r>
            <w:r>
              <w:rPr>
                <w:bCs/>
                <w:color w:val="333333"/>
                <w:sz w:val="20"/>
                <w:szCs w:val="20"/>
              </w:rPr>
              <w:t xml:space="preserve"> иммуноглобулины  белковая фракция  сыворотки  крови лошадей, 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гипериммунизированных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 анатоксинами (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таксинами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) трех 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основых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 возбудителей  газовой анаэробной  инфекции (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перфрингенс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>)  типа</w:t>
            </w:r>
            <w:proofErr w:type="gramStart"/>
            <w:r>
              <w:rPr>
                <w:bCs/>
                <w:color w:val="333333"/>
                <w:sz w:val="20"/>
                <w:szCs w:val="20"/>
              </w:rPr>
              <w:t xml:space="preserve"> А</w:t>
            </w:r>
            <w:proofErr w:type="gramEnd"/>
            <w:r>
              <w:rPr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новии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дематиенс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), 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333333"/>
                <w:sz w:val="20"/>
                <w:szCs w:val="20"/>
              </w:rPr>
              <w:t>септикум</w:t>
            </w:r>
            <w:proofErr w:type="spellEnd"/>
            <w:r>
              <w:rPr>
                <w:bCs/>
                <w:color w:val="333333"/>
                <w:sz w:val="20"/>
                <w:szCs w:val="20"/>
              </w:rPr>
              <w:t>). Сыворотка  очищена методом  пептического переваривания и солевого фракционирования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Default="00134F28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4B37D8" w:rsidRDefault="00134F28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4B37D8" w:rsidRDefault="00134F28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</w:t>
            </w:r>
          </w:p>
        </w:tc>
        <w:tc>
          <w:tcPr>
            <w:tcW w:w="1560" w:type="dxa"/>
            <w:vAlign w:val="center"/>
          </w:tcPr>
          <w:p w:rsidR="00EA2D0A" w:rsidRDefault="00A0525E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320 000</w:t>
            </w:r>
          </w:p>
        </w:tc>
      </w:tr>
      <w:tr w:rsidR="00B66C51" w:rsidRPr="00AA054C" w:rsidTr="00392D14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66C51" w:rsidRDefault="00A0525E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1 334 500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 w:rsidR="007A5D84"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</w:t>
      </w:r>
      <w:r w:rsidR="00A0525E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134F28">
        <w:rPr>
          <w:color w:val="auto"/>
          <w:sz w:val="18"/>
          <w:szCs w:val="18"/>
          <w:lang w:val="kk-KZ"/>
        </w:rPr>
        <w:t>16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134F28">
        <w:rPr>
          <w:color w:val="auto"/>
          <w:sz w:val="18"/>
          <w:szCs w:val="18"/>
          <w:lang w:val="kk-KZ"/>
        </w:rPr>
        <w:t>16</w:t>
      </w:r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2022-02-04T09:35:00Z</cp:lastPrinted>
  <dcterms:created xsi:type="dcterms:W3CDTF">2022-02-09T05:39:00Z</dcterms:created>
  <dcterms:modified xsi:type="dcterms:W3CDTF">2022-02-09T11:42:00Z</dcterms:modified>
</cp:coreProperties>
</file>