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1" w:rsidRDefault="00D41F31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№1</w:t>
      </w:r>
    </w:p>
    <w:p w:rsidR="00EF50E4" w:rsidRPr="00C83A7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C83A7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C83A7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C83A75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C83A7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 w:rsidRPr="00C83A75">
        <w:rPr>
          <w:b/>
          <w:color w:val="auto"/>
          <w:sz w:val="18"/>
          <w:szCs w:val="18"/>
        </w:rPr>
        <w:t xml:space="preserve"> </w:t>
      </w:r>
      <w:r w:rsidR="00D36EA5">
        <w:rPr>
          <w:b/>
          <w:color w:val="auto"/>
          <w:sz w:val="18"/>
          <w:szCs w:val="18"/>
        </w:rPr>
        <w:t xml:space="preserve">запчасти для </w:t>
      </w:r>
      <w:proofErr w:type="gramStart"/>
      <w:r w:rsidR="001562C2">
        <w:rPr>
          <w:b/>
          <w:color w:val="auto"/>
          <w:sz w:val="18"/>
          <w:szCs w:val="18"/>
        </w:rPr>
        <w:t>моторный</w:t>
      </w:r>
      <w:proofErr w:type="gramEnd"/>
      <w:r w:rsidR="00C83A75">
        <w:rPr>
          <w:b/>
          <w:color w:val="auto"/>
          <w:sz w:val="18"/>
          <w:szCs w:val="18"/>
        </w:rPr>
        <w:t xml:space="preserve">  </w:t>
      </w:r>
      <w:r w:rsidR="001562C2">
        <w:rPr>
          <w:b/>
          <w:color w:val="auto"/>
          <w:sz w:val="18"/>
          <w:szCs w:val="18"/>
        </w:rPr>
        <w:t xml:space="preserve">хирургический </w:t>
      </w:r>
      <w:r w:rsidR="00C83A75">
        <w:rPr>
          <w:b/>
          <w:color w:val="auto"/>
          <w:sz w:val="18"/>
          <w:szCs w:val="18"/>
        </w:rPr>
        <w:t xml:space="preserve"> системе (</w:t>
      </w:r>
      <w:proofErr w:type="spellStart"/>
      <w:r w:rsidR="00C83A75">
        <w:rPr>
          <w:b/>
          <w:color w:val="auto"/>
          <w:sz w:val="18"/>
          <w:szCs w:val="18"/>
        </w:rPr>
        <w:t>Дерматом</w:t>
      </w:r>
      <w:proofErr w:type="spellEnd"/>
      <w:r w:rsidR="00C83A75">
        <w:rPr>
          <w:b/>
          <w:color w:val="auto"/>
          <w:sz w:val="18"/>
          <w:szCs w:val="18"/>
        </w:rPr>
        <w:t xml:space="preserve">) </w:t>
      </w:r>
      <w:r w:rsidRPr="00C83A75">
        <w:rPr>
          <w:b/>
          <w:color w:val="auto"/>
          <w:sz w:val="18"/>
          <w:szCs w:val="18"/>
          <w:lang w:val="kk-KZ"/>
        </w:rPr>
        <w:t xml:space="preserve"> запроса ценовых предложений</w:t>
      </w:r>
    </w:p>
    <w:p w:rsidR="00EF50E4" w:rsidRPr="00C83A7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bookmarkStart w:id="0" w:name="_GoBack"/>
      <w:bookmarkEnd w:id="0"/>
      <w:r w:rsidRPr="00C83A7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C83A7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3A75">
        <w:rPr>
          <w:color w:val="auto"/>
          <w:sz w:val="18"/>
          <w:szCs w:val="18"/>
          <w:lang w:val="kk-KZ"/>
        </w:rPr>
        <w:t>18.01.2022</w:t>
      </w:r>
      <w:r w:rsidRPr="00C83A75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7D3AF8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4" w:name="OLE_LINK7"/>
      <w:bookmarkStart w:id="5" w:name="OLE_LINK8"/>
      <w:bookmarkStart w:id="6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2976"/>
        <w:gridCol w:w="993"/>
        <w:gridCol w:w="992"/>
        <w:gridCol w:w="992"/>
        <w:gridCol w:w="1276"/>
        <w:gridCol w:w="1559"/>
        <w:gridCol w:w="992"/>
        <w:gridCol w:w="1418"/>
        <w:gridCol w:w="1417"/>
      </w:tblGrid>
      <w:tr w:rsidR="00B001F5" w:rsidRPr="003C4686" w:rsidTr="00C46E7E">
        <w:trPr>
          <w:trHeight w:val="377"/>
        </w:trPr>
        <w:tc>
          <w:tcPr>
            <w:tcW w:w="635" w:type="dxa"/>
            <w:shd w:val="clear" w:color="auto" w:fill="auto"/>
            <w:vAlign w:val="center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  <w:p w:rsidR="00B001F5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001F5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001F5" w:rsidRPr="005B28A5" w:rsidRDefault="00B001F5" w:rsidP="00F571C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7" w:type="dxa"/>
          </w:tcPr>
          <w:p w:rsidR="00B001F5" w:rsidRPr="009D3F1E" w:rsidRDefault="00B001F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001F5" w:rsidRPr="00AB79AC" w:rsidTr="00C46E7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B001F5" w:rsidRPr="00FC1AD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F5" w:rsidRPr="00C46E7E" w:rsidRDefault="00B001F5" w:rsidP="00E92034">
            <w:pPr>
              <w:jc w:val="center"/>
              <w:rPr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Рукоятка электроприводная для </w:t>
            </w:r>
            <w:proofErr w:type="spellStart"/>
            <w:r w:rsidRPr="00C46E7E">
              <w:rPr>
                <w:color w:val="auto"/>
                <w:sz w:val="16"/>
                <w:szCs w:val="16"/>
              </w:rPr>
              <w:t>дерматома</w:t>
            </w:r>
            <w:proofErr w:type="spellEnd"/>
            <w:r w:rsidRPr="00C46E7E">
              <w:rPr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2976" w:type="dxa"/>
          </w:tcPr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Рукоятка электроприводная для </w:t>
            </w:r>
            <w:proofErr w:type="spellStart"/>
            <w:r w:rsidRPr="00C46E7E">
              <w:rPr>
                <w:color w:val="auto"/>
                <w:sz w:val="16"/>
                <w:szCs w:val="16"/>
              </w:rPr>
              <w:t>дерматома</w:t>
            </w:r>
            <w:proofErr w:type="spellEnd"/>
            <w:r w:rsidRPr="00C46E7E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C46E7E">
              <w:rPr>
                <w:color w:val="auto"/>
                <w:sz w:val="16"/>
                <w:szCs w:val="16"/>
              </w:rPr>
              <w:t>–у</w:t>
            </w:r>
            <w:proofErr w:type="gramEnd"/>
            <w:r w:rsidRPr="00C46E7E">
              <w:rPr>
                <w:color w:val="auto"/>
                <w:sz w:val="16"/>
                <w:szCs w:val="16"/>
              </w:rPr>
              <w:t xml:space="preserve">льтратонкая эргономичная рукоятка для </w:t>
            </w:r>
            <w:proofErr w:type="spellStart"/>
            <w:r w:rsidRPr="00C46E7E">
              <w:rPr>
                <w:color w:val="auto"/>
                <w:sz w:val="16"/>
                <w:szCs w:val="16"/>
              </w:rPr>
              <w:t>дерматома</w:t>
            </w:r>
            <w:proofErr w:type="spellEnd"/>
            <w:r w:rsidRPr="00C46E7E">
              <w:rPr>
                <w:color w:val="auto"/>
                <w:sz w:val="16"/>
                <w:szCs w:val="16"/>
              </w:rPr>
              <w:t xml:space="preserve">, представляющая собой специальный медицинский инструмент для снятия тонкого кожного лоскута с донорского участка для последующей пересадки. 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Применяется в </w:t>
            </w:r>
            <w:proofErr w:type="spellStart"/>
            <w:r w:rsidRPr="00C46E7E">
              <w:rPr>
                <w:color w:val="auto"/>
                <w:sz w:val="16"/>
                <w:szCs w:val="16"/>
              </w:rPr>
              <w:t>комбустиологии</w:t>
            </w:r>
            <w:proofErr w:type="spellEnd"/>
            <w:r w:rsidRPr="00C46E7E">
              <w:rPr>
                <w:color w:val="auto"/>
                <w:sz w:val="16"/>
                <w:szCs w:val="16"/>
              </w:rPr>
              <w:t xml:space="preserve"> с целью получения трансплантата для пластики ожогового дефекта после ожогов 3-й степени.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Плавный высокоскоростной срез кожного лоскута обеспечивает проведение процедуры почти без усилий и вибрации.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-Ширина среза: 73 мм, 48 мм, 23 мм;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-Толщина среза: 0,05 - 1,00 мм;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-Скорость: 2000 - 15 000 </w:t>
            </w:r>
            <w:proofErr w:type="gramStart"/>
            <w:r w:rsidRPr="00C46E7E">
              <w:rPr>
                <w:color w:val="auto"/>
                <w:sz w:val="16"/>
                <w:szCs w:val="16"/>
              </w:rPr>
              <w:t>об</w:t>
            </w:r>
            <w:proofErr w:type="gramEnd"/>
            <w:r w:rsidRPr="00C46E7E">
              <w:rPr>
                <w:color w:val="auto"/>
                <w:sz w:val="16"/>
                <w:szCs w:val="16"/>
              </w:rPr>
              <w:t xml:space="preserve"> / мин;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-Вес: 280 г;</w:t>
            </w:r>
          </w:p>
          <w:p w:rsidR="00B001F5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Управление: ножная педаль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Pr="00AB79AC" w:rsidRDefault="00B001F5" w:rsidP="00D164CF">
            <w:pPr>
              <w:jc w:val="center"/>
              <w:rPr>
                <w:sz w:val="16"/>
                <w:szCs w:val="16"/>
              </w:rPr>
            </w:pPr>
          </w:p>
          <w:p w:rsidR="00B001F5" w:rsidRPr="00AB79AC" w:rsidRDefault="00B001F5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1F5" w:rsidRPr="00AB79AC" w:rsidRDefault="00B001F5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001F5" w:rsidRPr="00AB79AC" w:rsidRDefault="00B001F5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001F5" w:rsidRPr="00AB79AC" w:rsidRDefault="00B001F5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1F5" w:rsidRDefault="00B001F5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1 978 300</w:t>
            </w:r>
          </w:p>
        </w:tc>
        <w:tc>
          <w:tcPr>
            <w:tcW w:w="1417" w:type="dxa"/>
            <w:vAlign w:val="center"/>
          </w:tcPr>
          <w:p w:rsidR="00B001F5" w:rsidRDefault="00B001F5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1 978 300</w:t>
            </w:r>
          </w:p>
        </w:tc>
      </w:tr>
      <w:tr w:rsidR="00B001F5" w:rsidRPr="00AB79AC" w:rsidTr="00C46E7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01F5" w:rsidRPr="00CC23BB" w:rsidRDefault="00B001F5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 управления с педалью, сетевой кабель</w:t>
            </w:r>
          </w:p>
        </w:tc>
        <w:tc>
          <w:tcPr>
            <w:tcW w:w="2976" w:type="dxa"/>
          </w:tcPr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Блок управления с педалью, сетевой кабель 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 Имеет: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-Индикатор частоты вращения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-Кнопка направления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-Кнопки регулирования частоты вращения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-Кнопка пуска/останова микродвигателя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lastRenderedPageBreak/>
              <w:t>-Гнездо для микродвигателя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-Гнездо для педали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-Выключатель питания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толщина среза легко регулируется и поддерживается с помощью калиброванного датчика глубины;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кожные трансплантаты от 0,05 мм до 1,00 мм регулируются с шагом 0,1 мм;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регулируемая ширина кожного трансплантата 73 мм, 48 мм и 23 мм.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Входное напряжение: 230/115/100 50-60 Гц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Мощность: 60 ВА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Размеры: 181 х 101 х 119 мм</w:t>
            </w:r>
          </w:p>
          <w:p w:rsidR="00B001F5" w:rsidRPr="00C46E7E" w:rsidRDefault="00C46E7E" w:rsidP="00C46E7E">
            <w:pPr>
              <w:rPr>
                <w:color w:val="auto"/>
                <w:sz w:val="18"/>
                <w:szCs w:val="18"/>
              </w:rPr>
            </w:pPr>
            <w:r w:rsidRPr="00C46E7E">
              <w:rPr>
                <w:color w:val="auto"/>
                <w:sz w:val="16"/>
                <w:szCs w:val="16"/>
              </w:rPr>
              <w:t>Вес: 1,79/0,12 кг контроллер/двигатель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</w:p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1F5" w:rsidRDefault="00B001F5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2 105 300</w:t>
            </w:r>
          </w:p>
        </w:tc>
        <w:tc>
          <w:tcPr>
            <w:tcW w:w="1417" w:type="dxa"/>
            <w:vAlign w:val="center"/>
          </w:tcPr>
          <w:p w:rsidR="00B001F5" w:rsidRDefault="00B001F5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2 105 300</w:t>
            </w:r>
          </w:p>
        </w:tc>
      </w:tr>
      <w:tr w:rsidR="00B001F5" w:rsidRPr="00AB79AC" w:rsidTr="00C46E7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925" w:type="dxa"/>
            <w:vMerge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01F5" w:rsidRPr="00CC23BB" w:rsidRDefault="00B001F5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Лезвия </w:t>
            </w:r>
            <w:proofErr w:type="spellStart"/>
            <w:r>
              <w:rPr>
                <w:sz w:val="16"/>
                <w:szCs w:val="16"/>
              </w:rPr>
              <w:t>дерматома</w:t>
            </w:r>
            <w:proofErr w:type="spellEnd"/>
            <w:r>
              <w:rPr>
                <w:sz w:val="16"/>
                <w:szCs w:val="16"/>
              </w:rPr>
              <w:t xml:space="preserve"> 23мм,48</w:t>
            </w:r>
          </w:p>
        </w:tc>
        <w:tc>
          <w:tcPr>
            <w:tcW w:w="2976" w:type="dxa"/>
          </w:tcPr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Лезвия </w:t>
            </w:r>
            <w:proofErr w:type="spellStart"/>
            <w:r w:rsidRPr="00C46E7E">
              <w:rPr>
                <w:color w:val="auto"/>
                <w:sz w:val="16"/>
                <w:szCs w:val="16"/>
              </w:rPr>
              <w:t>дерматома</w:t>
            </w:r>
            <w:proofErr w:type="spellEnd"/>
            <w:r w:rsidRPr="00C46E7E">
              <w:rPr>
                <w:color w:val="auto"/>
                <w:sz w:val="16"/>
                <w:szCs w:val="16"/>
              </w:rPr>
              <w:t xml:space="preserve"> 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  <w:lang w:val="kk-KZ"/>
              </w:rPr>
            </w:pPr>
            <w:r w:rsidRPr="00C46E7E">
              <w:rPr>
                <w:color w:val="auto"/>
                <w:sz w:val="16"/>
                <w:szCs w:val="16"/>
                <w:lang w:val="kk-KZ"/>
              </w:rPr>
              <w:t>0,23х18х78мм</w:t>
            </w:r>
          </w:p>
          <w:p w:rsidR="00B001F5" w:rsidRPr="00C46E7E" w:rsidRDefault="00C46E7E" w:rsidP="00C46E7E">
            <w:pPr>
              <w:rPr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Лезвия изготовлено из металла марки </w:t>
            </w:r>
            <w:proofErr w:type="spellStart"/>
            <w:r w:rsidRPr="00C46E7E">
              <w:rPr>
                <w:color w:val="auto"/>
                <w:sz w:val="16"/>
                <w:szCs w:val="16"/>
              </w:rPr>
              <w:t>Stericut</w:t>
            </w:r>
            <w:proofErr w:type="spellEnd"/>
            <w:r w:rsidRPr="00C46E7E">
              <w:rPr>
                <w:color w:val="auto"/>
                <w:sz w:val="16"/>
                <w:szCs w:val="16"/>
              </w:rPr>
              <w:t>®. Подлежит вторичной обработки мойки и стерилизации.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</w:p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1F5" w:rsidRDefault="00B001F5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24 200</w:t>
            </w:r>
          </w:p>
        </w:tc>
        <w:tc>
          <w:tcPr>
            <w:tcW w:w="1417" w:type="dxa"/>
            <w:vAlign w:val="center"/>
          </w:tcPr>
          <w:p w:rsidR="00B001F5" w:rsidRDefault="00B001F5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24 200</w:t>
            </w:r>
          </w:p>
        </w:tc>
      </w:tr>
      <w:tr w:rsidR="00B001F5" w:rsidRPr="00AB79AC" w:rsidTr="00C46E7E">
        <w:trPr>
          <w:trHeight w:val="606"/>
        </w:trPr>
        <w:tc>
          <w:tcPr>
            <w:tcW w:w="635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01F5" w:rsidRPr="00CC23BB" w:rsidRDefault="00B001F5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Кейс стерилизационный </w:t>
            </w:r>
          </w:p>
        </w:tc>
        <w:tc>
          <w:tcPr>
            <w:tcW w:w="2976" w:type="dxa"/>
          </w:tcPr>
          <w:p w:rsidR="00B001F5" w:rsidRPr="00C46E7E" w:rsidRDefault="00C46E7E" w:rsidP="00C46E7E">
            <w:pPr>
              <w:rPr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  <w:lang w:val="kk-KZ"/>
              </w:rPr>
              <w:t>Стерилизационный кейс для инструментов</w:t>
            </w:r>
            <w:r w:rsidRPr="00C46E7E">
              <w:rPr>
                <w:color w:val="auto"/>
                <w:sz w:val="16"/>
                <w:szCs w:val="16"/>
              </w:rPr>
              <w:t xml:space="preserve"> </w:t>
            </w:r>
            <w:r w:rsidRPr="00C46E7E">
              <w:rPr>
                <w:color w:val="auto"/>
                <w:sz w:val="16"/>
                <w:szCs w:val="16"/>
                <w:lang w:val="kk-KZ"/>
              </w:rPr>
              <w:t>из нержавеющей стали. Подлежит всем видам стерилизации: паровая до 160 градусов, гамма облучение окись этилена (ETO).</w:t>
            </w:r>
            <w:r w:rsidRPr="00C46E7E">
              <w:rPr>
                <w:rFonts w:ascii="SchoolBook-Regular" w:eastAsia="Calibri" w:hAnsi="SchoolBook-Regular" w:cs="SchoolBook-Regular"/>
                <w:color w:val="77797B"/>
                <w:sz w:val="16"/>
                <w:szCs w:val="16"/>
                <w:lang w:eastAsia="en-US"/>
              </w:rPr>
              <w:t xml:space="preserve"> </w:t>
            </w:r>
            <w:r w:rsidRPr="00C46E7E">
              <w:rPr>
                <w:color w:val="auto"/>
                <w:sz w:val="16"/>
                <w:szCs w:val="16"/>
                <w:lang w:val="kk-KZ"/>
              </w:rPr>
              <w:t>Длительный срок службы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</w:p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1F5" w:rsidRDefault="00B001F5" w:rsidP="00C31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713 100</w:t>
            </w:r>
          </w:p>
        </w:tc>
        <w:tc>
          <w:tcPr>
            <w:tcW w:w="1417" w:type="dxa"/>
            <w:vAlign w:val="center"/>
          </w:tcPr>
          <w:p w:rsidR="00B001F5" w:rsidRDefault="00B001F5" w:rsidP="00C31B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713 100</w:t>
            </w:r>
          </w:p>
        </w:tc>
      </w:tr>
      <w:tr w:rsidR="00B001F5" w:rsidRPr="00AB79AC" w:rsidTr="00C46E7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01F5" w:rsidRPr="00CC23BB" w:rsidRDefault="00B001F5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Опорная пластина </w:t>
            </w:r>
            <w:proofErr w:type="spellStart"/>
            <w:r>
              <w:rPr>
                <w:sz w:val="16"/>
                <w:szCs w:val="16"/>
              </w:rPr>
              <w:t>дерматома</w:t>
            </w:r>
            <w:proofErr w:type="spellEnd"/>
            <w:r>
              <w:rPr>
                <w:sz w:val="16"/>
                <w:szCs w:val="16"/>
              </w:rPr>
              <w:t xml:space="preserve"> 73мм; 48мм; 23мм для снятия лоскута</w:t>
            </w:r>
          </w:p>
        </w:tc>
        <w:tc>
          <w:tcPr>
            <w:tcW w:w="2976" w:type="dxa"/>
          </w:tcPr>
          <w:p w:rsidR="00B001F5" w:rsidRPr="00C46E7E" w:rsidRDefault="00C46E7E" w:rsidP="00C46E7E">
            <w:pPr>
              <w:rPr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Регулируемая Опорная пластина </w:t>
            </w:r>
            <w:proofErr w:type="spellStart"/>
            <w:r w:rsidRPr="00C46E7E">
              <w:rPr>
                <w:color w:val="auto"/>
                <w:sz w:val="16"/>
                <w:szCs w:val="16"/>
              </w:rPr>
              <w:t>дерматома</w:t>
            </w:r>
            <w:proofErr w:type="spellEnd"/>
            <w:r w:rsidRPr="00C46E7E">
              <w:rPr>
                <w:color w:val="auto"/>
                <w:sz w:val="16"/>
                <w:szCs w:val="16"/>
              </w:rPr>
              <w:t xml:space="preserve"> 73 мм; 48 мм; 23 мм для снятия лоскута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</w:p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001F5" w:rsidRPr="00AB79AC" w:rsidRDefault="00B001F5" w:rsidP="00431BE7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1F5" w:rsidRDefault="00B001F5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202 300</w:t>
            </w:r>
          </w:p>
        </w:tc>
        <w:tc>
          <w:tcPr>
            <w:tcW w:w="1417" w:type="dxa"/>
            <w:vAlign w:val="center"/>
          </w:tcPr>
          <w:p w:rsidR="00B001F5" w:rsidRDefault="00B001F5" w:rsidP="00D164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202 300</w:t>
            </w:r>
          </w:p>
        </w:tc>
      </w:tr>
      <w:tr w:rsidR="00B001F5" w:rsidRPr="00AB79AC" w:rsidTr="00C46E7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B001F5" w:rsidRPr="00FC1AD5" w:rsidRDefault="00B001F5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01F5" w:rsidRPr="00CC23BB" w:rsidRDefault="00B001F5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Перфоратор со сверлом </w:t>
            </w:r>
          </w:p>
        </w:tc>
        <w:tc>
          <w:tcPr>
            <w:tcW w:w="2976" w:type="dxa"/>
          </w:tcPr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Перфоратор   </w:t>
            </w:r>
            <w:r w:rsidRPr="00C46E7E">
              <w:rPr>
                <w:color w:val="auto"/>
                <w:sz w:val="16"/>
                <w:szCs w:val="16"/>
                <w:lang w:val="kk-KZ"/>
              </w:rPr>
              <w:t>для снятия кожного лоскута</w:t>
            </w:r>
            <w:r w:rsidRPr="00C46E7E">
              <w:rPr>
                <w:color w:val="auto"/>
                <w:sz w:val="16"/>
                <w:szCs w:val="16"/>
              </w:rPr>
              <w:t>.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Длительный срок службы - высококачественное сырье.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• Отсутствие масляной смазки, чрезвычайно низкие затраты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на техническое обслуживание.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• Встроенный режущий ролик с коэффициентом растяжения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1,5: 1, </w:t>
            </w:r>
            <w:proofErr w:type="gramStart"/>
            <w:r w:rsidRPr="00C46E7E">
              <w:rPr>
                <w:color w:val="auto"/>
                <w:sz w:val="16"/>
                <w:szCs w:val="16"/>
              </w:rPr>
              <w:t>который</w:t>
            </w:r>
            <w:proofErr w:type="gramEnd"/>
            <w:r w:rsidRPr="00C46E7E">
              <w:rPr>
                <w:color w:val="auto"/>
                <w:sz w:val="16"/>
                <w:szCs w:val="16"/>
              </w:rPr>
              <w:t xml:space="preserve"> по желанию может быть заменен роликом с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коэффициентом растяжения 3: 1.</w:t>
            </w:r>
          </w:p>
          <w:p w:rsidR="00C46E7E" w:rsidRPr="00C46E7E" w:rsidRDefault="00C46E7E" w:rsidP="00C46E7E">
            <w:pPr>
              <w:rPr>
                <w:color w:val="auto"/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 xml:space="preserve">• Обе стороны переноски можно использовать </w:t>
            </w:r>
            <w:proofErr w:type="gramStart"/>
            <w:r w:rsidRPr="00C46E7E">
              <w:rPr>
                <w:color w:val="auto"/>
                <w:sz w:val="16"/>
                <w:szCs w:val="16"/>
              </w:rPr>
              <w:t>во время</w:t>
            </w:r>
            <w:proofErr w:type="gramEnd"/>
          </w:p>
          <w:p w:rsidR="00B001F5" w:rsidRPr="00C46E7E" w:rsidRDefault="00C46E7E" w:rsidP="00C46E7E">
            <w:pPr>
              <w:rPr>
                <w:sz w:val="16"/>
                <w:szCs w:val="16"/>
              </w:rPr>
            </w:pPr>
            <w:r w:rsidRPr="00C46E7E">
              <w:rPr>
                <w:color w:val="auto"/>
                <w:sz w:val="16"/>
                <w:szCs w:val="16"/>
              </w:rPr>
              <w:t>хирургической процедуры.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Default="00B001F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1F5" w:rsidRPr="00AB79AC" w:rsidRDefault="00B001F5" w:rsidP="00D164CF">
            <w:pPr>
              <w:jc w:val="center"/>
              <w:rPr>
                <w:sz w:val="16"/>
                <w:szCs w:val="16"/>
              </w:rPr>
            </w:pPr>
          </w:p>
          <w:p w:rsidR="00B001F5" w:rsidRPr="00AB79AC" w:rsidRDefault="00B001F5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1F5" w:rsidRPr="00AB79AC" w:rsidRDefault="00B001F5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B001F5" w:rsidRPr="00AB79AC" w:rsidRDefault="00B001F5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B001F5" w:rsidRPr="00AB79AC" w:rsidRDefault="00B001F5" w:rsidP="00D164CF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01F5" w:rsidRDefault="00B001F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2 951 200</w:t>
            </w:r>
          </w:p>
        </w:tc>
        <w:tc>
          <w:tcPr>
            <w:tcW w:w="1417" w:type="dxa"/>
            <w:vAlign w:val="center"/>
          </w:tcPr>
          <w:p w:rsidR="00B001F5" w:rsidRDefault="00B001F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2 951 200</w:t>
            </w:r>
          </w:p>
        </w:tc>
      </w:tr>
      <w:tr w:rsidR="00114CA0" w:rsidRPr="00AA054C" w:rsidTr="0046704F">
        <w:trPr>
          <w:trHeight w:val="170"/>
        </w:trPr>
        <w:tc>
          <w:tcPr>
            <w:tcW w:w="14601" w:type="dxa"/>
            <w:gridSpan w:val="11"/>
          </w:tcPr>
          <w:p w:rsidR="00114CA0" w:rsidRPr="00FC1AD5" w:rsidRDefault="00114CA0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7" w:type="dxa"/>
          </w:tcPr>
          <w:p w:rsidR="00114CA0" w:rsidRDefault="00114CA0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7 974 400</w:t>
            </w:r>
          </w:p>
        </w:tc>
      </w:tr>
    </w:tbl>
    <w:p w:rsidR="00C46E7E" w:rsidRDefault="00C46E7E" w:rsidP="007D3AF8">
      <w:pPr>
        <w:rPr>
          <w:rStyle w:val="a8"/>
          <w:sz w:val="20"/>
          <w:szCs w:val="20"/>
        </w:rPr>
      </w:pPr>
    </w:p>
    <w:p w:rsidR="00C46E7E" w:rsidRDefault="00C46E7E" w:rsidP="007D3AF8">
      <w:pPr>
        <w:rPr>
          <w:rStyle w:val="a8"/>
          <w:sz w:val="20"/>
          <w:szCs w:val="20"/>
        </w:rPr>
      </w:pP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7D3AF8" w:rsidRPr="007D3AF8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</w:t>
      </w:r>
      <w:r w:rsidR="00E5114A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ценовое предложение (Приложение №12) в запечатанном виде. Конверт содержит ценовое предложение по форме, утвержденной уполномоченным органом в области</w:t>
      </w:r>
      <w:r w:rsidR="00E5114A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E5114A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Правил, а также описание и объем фармацевтических услуг.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C83A75">
        <w:rPr>
          <w:color w:val="auto"/>
          <w:sz w:val="18"/>
          <w:szCs w:val="18"/>
          <w:lang w:val="kk-KZ"/>
        </w:rPr>
        <w:t>25 января 2022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C83A75">
        <w:rPr>
          <w:color w:val="auto"/>
          <w:sz w:val="18"/>
          <w:szCs w:val="18"/>
          <w:lang w:val="kk-KZ"/>
        </w:rPr>
        <w:t>25 января 2022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7D3AF8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 w:rsidR="007D3AF8"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7D3AF8" w:rsidRPr="007D3AF8" w:rsidRDefault="007D3AF8" w:rsidP="007D3AF8">
      <w:pPr>
        <w:rPr>
          <w:color w:val="auto"/>
          <w:sz w:val="20"/>
          <w:szCs w:val="20"/>
        </w:rPr>
      </w:pPr>
      <w:r>
        <w:rPr>
          <w:rStyle w:val="a8"/>
        </w:rPr>
        <w:t> </w:t>
      </w:r>
      <w:r w:rsidRPr="007D3AF8">
        <w:rPr>
          <w:rStyle w:val="a8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rStyle w:val="a9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D3AF8">
        <w:rPr>
          <w:rStyle w:val="a9"/>
          <w:sz w:val="20"/>
          <w:szCs w:val="20"/>
        </w:rPr>
        <w:t xml:space="preserve"> </w:t>
      </w:r>
      <w:proofErr w:type="gramStart"/>
      <w:r w:rsidRPr="007D3AF8">
        <w:rPr>
          <w:rStyle w:val="a9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9"/>
          <w:sz w:val="20"/>
          <w:szCs w:val="20"/>
        </w:rPr>
        <w:t>прекурсоров</w:t>
      </w:r>
      <w:proofErr w:type="spellEnd"/>
      <w:r w:rsidRPr="007D3AF8">
        <w:rPr>
          <w:rStyle w:val="a9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rStyle w:val="a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7D3AF8" w:rsidRDefault="007D3AF8" w:rsidP="007D3AF8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7D3AF8" w:rsidRDefault="007D3AF8" w:rsidP="007D3AF8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r w:rsidR="00D36EA5" w:rsidRPr="007D3AF8">
        <w:rPr>
          <w:sz w:val="20"/>
          <w:szCs w:val="20"/>
        </w:rPr>
        <w:t>двух тысячек</w:t>
      </w:r>
      <w:r w:rsidR="00D36EA5">
        <w:rPr>
          <w:sz w:val="20"/>
          <w:szCs w:val="20"/>
        </w:rPr>
        <w:t xml:space="preserve"> </w:t>
      </w:r>
      <w:r w:rsidRPr="007D3AF8">
        <w:rPr>
          <w:sz w:val="20"/>
          <w:szCs w:val="20"/>
        </w:rPr>
        <w:t>ратный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866EF"/>
    <w:rsid w:val="00091DB1"/>
    <w:rsid w:val="00095B0F"/>
    <w:rsid w:val="000A3BB9"/>
    <w:rsid w:val="000A5860"/>
    <w:rsid w:val="000B37F8"/>
    <w:rsid w:val="000D7B16"/>
    <w:rsid w:val="000E518B"/>
    <w:rsid w:val="000F6FDB"/>
    <w:rsid w:val="00106ABB"/>
    <w:rsid w:val="00114CA0"/>
    <w:rsid w:val="00141281"/>
    <w:rsid w:val="0014420B"/>
    <w:rsid w:val="001465DB"/>
    <w:rsid w:val="001529FC"/>
    <w:rsid w:val="001562C2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472A7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5455B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3AF8"/>
    <w:rsid w:val="007D578D"/>
    <w:rsid w:val="0080185B"/>
    <w:rsid w:val="00821425"/>
    <w:rsid w:val="008340F9"/>
    <w:rsid w:val="0085002E"/>
    <w:rsid w:val="008533D6"/>
    <w:rsid w:val="0087659E"/>
    <w:rsid w:val="00884774"/>
    <w:rsid w:val="008D0078"/>
    <w:rsid w:val="008D5173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C468C"/>
    <w:rsid w:val="00AE1E63"/>
    <w:rsid w:val="00AF2716"/>
    <w:rsid w:val="00B001F5"/>
    <w:rsid w:val="00B2403A"/>
    <w:rsid w:val="00B25630"/>
    <w:rsid w:val="00B27160"/>
    <w:rsid w:val="00B54B01"/>
    <w:rsid w:val="00B82F76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46E7E"/>
    <w:rsid w:val="00C57597"/>
    <w:rsid w:val="00C6184C"/>
    <w:rsid w:val="00C76E56"/>
    <w:rsid w:val="00C83A75"/>
    <w:rsid w:val="00CB11A5"/>
    <w:rsid w:val="00CB40FE"/>
    <w:rsid w:val="00CB7F40"/>
    <w:rsid w:val="00CC23BB"/>
    <w:rsid w:val="00CF184B"/>
    <w:rsid w:val="00D0187F"/>
    <w:rsid w:val="00D073A8"/>
    <w:rsid w:val="00D155DE"/>
    <w:rsid w:val="00D17BD9"/>
    <w:rsid w:val="00D21514"/>
    <w:rsid w:val="00D26EEB"/>
    <w:rsid w:val="00D36EA5"/>
    <w:rsid w:val="00D41F31"/>
    <w:rsid w:val="00D53CFA"/>
    <w:rsid w:val="00D77BEB"/>
    <w:rsid w:val="00DD734D"/>
    <w:rsid w:val="00DF5352"/>
    <w:rsid w:val="00E21421"/>
    <w:rsid w:val="00E34814"/>
    <w:rsid w:val="00E43885"/>
    <w:rsid w:val="00E5114A"/>
    <w:rsid w:val="00E55C27"/>
    <w:rsid w:val="00E63CB6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10</cp:revision>
  <cp:lastPrinted>2021-03-04T10:12:00Z</cp:lastPrinted>
  <dcterms:created xsi:type="dcterms:W3CDTF">2022-01-12T12:09:00Z</dcterms:created>
  <dcterms:modified xsi:type="dcterms:W3CDTF">2022-01-18T10:30:00Z</dcterms:modified>
</cp:coreProperties>
</file>